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仿宋" w:hAnsi="仿宋" w:eastAsia="仿宋"/>
          <w:sz w:val="36"/>
          <w:szCs w:val="36"/>
        </w:rPr>
      </w:pPr>
      <w:r>
        <w:rPr>
          <w:rFonts w:ascii="仿宋" w:hAnsi="仿宋" w:eastAsia="仿宋"/>
          <w:sz w:val="36"/>
          <w:szCs w:val="36"/>
        </w:rPr>
        <w:t>中国</w:t>
      </w:r>
      <w:r>
        <w:rPr>
          <w:rFonts w:hint="eastAsia" w:ascii="仿宋" w:hAnsi="仿宋" w:eastAsia="仿宋"/>
          <w:sz w:val="36"/>
          <w:szCs w:val="36"/>
        </w:rPr>
        <w:t>颗粒</w:t>
      </w:r>
      <w:r>
        <w:rPr>
          <w:rFonts w:ascii="仿宋" w:hAnsi="仿宋" w:eastAsia="仿宋"/>
          <w:sz w:val="36"/>
          <w:szCs w:val="36"/>
        </w:rPr>
        <w:t>学会</w:t>
      </w:r>
      <w:r>
        <w:rPr>
          <w:rFonts w:hint="eastAsia" w:ascii="仿宋" w:hAnsi="仿宋" w:eastAsia="仿宋"/>
          <w:sz w:val="36"/>
          <w:szCs w:val="36"/>
        </w:rPr>
        <w:t>人才奖管理办法</w:t>
      </w:r>
    </w:p>
    <w:p>
      <w:pPr>
        <w:tabs>
          <w:tab w:val="left" w:pos="0"/>
        </w:tabs>
        <w:spacing w:before="360" w:line="420" w:lineRule="exact"/>
        <w:jc w:val="center"/>
        <w:rPr>
          <w:rFonts w:ascii="仿宋" w:hAnsi="仿宋" w:eastAsia="仿宋" w:cs="Times New Roman"/>
          <w:b/>
          <w:sz w:val="28"/>
          <w:szCs w:val="20"/>
        </w:rPr>
      </w:pPr>
      <w:r>
        <w:rPr>
          <w:rFonts w:hint="eastAsia" w:ascii="仿宋" w:hAnsi="仿宋" w:eastAsia="仿宋" w:cs="Times New Roman"/>
          <w:b/>
          <w:sz w:val="28"/>
          <w:szCs w:val="20"/>
        </w:rPr>
        <w:t>第一章</w:t>
      </w:r>
      <w:r>
        <w:rPr>
          <w:rFonts w:ascii="仿宋" w:hAnsi="仿宋" w:eastAsia="仿宋" w:cs="Times New Roman"/>
          <w:b/>
          <w:sz w:val="28"/>
          <w:szCs w:val="20"/>
        </w:rPr>
        <w:tab/>
      </w:r>
      <w:r>
        <w:rPr>
          <w:rFonts w:ascii="仿宋" w:hAnsi="仿宋" w:eastAsia="仿宋" w:cs="Times New Roman"/>
          <w:b/>
          <w:sz w:val="28"/>
          <w:szCs w:val="20"/>
        </w:rPr>
        <w:t>总则</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为推动中国颗粒学及其相关领域的科技进步，调动青年科技工作者的积极性和创造性，促进青年人才成长，中国颗粒学会在中国颗粒学会颗粒学奖中特设立“中国颗粒学会人才奖”，以下简称本奖项。</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本奖项的申报、评审和授奖，实行公开、公平、公正的原则，不受任何组织或个人的干涉。</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学会奖励工作委员会总体负责本奖项的评审工作。</w:t>
      </w:r>
    </w:p>
    <w:p>
      <w:pPr>
        <w:tabs>
          <w:tab w:val="left" w:pos="0"/>
        </w:tabs>
        <w:spacing w:before="360" w:line="420" w:lineRule="exact"/>
        <w:jc w:val="center"/>
        <w:rPr>
          <w:rFonts w:ascii="仿宋" w:hAnsi="仿宋" w:eastAsia="仿宋" w:cs="Times New Roman"/>
          <w:b/>
          <w:sz w:val="28"/>
          <w:szCs w:val="20"/>
        </w:rPr>
      </w:pPr>
      <w:r>
        <w:rPr>
          <w:rFonts w:hint="eastAsia" w:ascii="仿宋" w:hAnsi="仿宋" w:eastAsia="仿宋" w:cs="Times New Roman"/>
          <w:b/>
          <w:sz w:val="28"/>
          <w:szCs w:val="20"/>
        </w:rPr>
        <w:t>第二章</w:t>
      </w:r>
      <w:r>
        <w:rPr>
          <w:rFonts w:ascii="仿宋" w:hAnsi="仿宋" w:eastAsia="仿宋" w:cs="Times New Roman"/>
          <w:b/>
          <w:sz w:val="28"/>
          <w:szCs w:val="20"/>
        </w:rPr>
        <w:tab/>
      </w:r>
      <w:r>
        <w:rPr>
          <w:rFonts w:ascii="仿宋" w:hAnsi="仿宋" w:eastAsia="仿宋" w:cs="Times New Roman"/>
          <w:b/>
          <w:sz w:val="28"/>
          <w:szCs w:val="20"/>
        </w:rPr>
        <w:t>奖</w:t>
      </w:r>
      <w:r>
        <w:rPr>
          <w:rFonts w:hint="eastAsia" w:ascii="仿宋" w:hAnsi="仿宋" w:eastAsia="仿宋" w:cs="Times New Roman"/>
          <w:b/>
          <w:sz w:val="28"/>
          <w:szCs w:val="20"/>
        </w:rPr>
        <w:t>项</w:t>
      </w:r>
      <w:r>
        <w:rPr>
          <w:rFonts w:ascii="仿宋" w:hAnsi="仿宋" w:eastAsia="仿宋" w:cs="Times New Roman"/>
          <w:b/>
          <w:sz w:val="28"/>
          <w:szCs w:val="20"/>
        </w:rPr>
        <w:t>设置和</w:t>
      </w:r>
      <w:r>
        <w:rPr>
          <w:rFonts w:hint="eastAsia" w:ascii="仿宋" w:hAnsi="仿宋" w:eastAsia="仿宋" w:cs="Times New Roman"/>
          <w:b/>
          <w:sz w:val="28"/>
          <w:szCs w:val="20"/>
        </w:rPr>
        <w:t>申报条件</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本奖项包含“中国颗粒学会优秀博士学位论文奖”和“中国颗粒学会青年颗粒学奖”，以下简称“优秀博士学位论文奖”和“青年颗粒学奖”。</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ascii="仿宋" w:hAnsi="仿宋" w:eastAsia="仿宋" w:cs="Times New Roman"/>
          <w:sz w:val="24"/>
          <w:szCs w:val="20"/>
        </w:rPr>
        <w:t>本奖项奖励范围：</w:t>
      </w:r>
    </w:p>
    <w:p>
      <w:pPr>
        <w:widowControl/>
        <w:numPr>
          <w:ilvl w:val="0"/>
          <w:numId w:val="2"/>
        </w:numPr>
        <w:spacing w:line="360" w:lineRule="auto"/>
        <w:ind w:left="1270"/>
        <w:rPr>
          <w:rFonts w:ascii="仿宋" w:hAnsi="仿宋" w:eastAsia="仿宋" w:cs="宋体"/>
          <w:bCs/>
          <w:kern w:val="0"/>
          <w:sz w:val="24"/>
          <w:szCs w:val="24"/>
        </w:rPr>
      </w:pPr>
      <w:r>
        <w:rPr>
          <w:rFonts w:hint="eastAsia" w:ascii="仿宋" w:hAnsi="仿宋" w:eastAsia="仿宋" w:cs="宋体"/>
          <w:bCs/>
          <w:kern w:val="0"/>
          <w:sz w:val="24"/>
          <w:szCs w:val="24"/>
        </w:rPr>
        <w:t>“优秀博士学位论文奖”奖励在攻读博士学位期间，在颗粒学及其相关领域的基础研究或应用研究中取得突出进展的优秀青年科技人才；</w:t>
      </w:r>
    </w:p>
    <w:p>
      <w:pPr>
        <w:widowControl/>
        <w:numPr>
          <w:ilvl w:val="0"/>
          <w:numId w:val="2"/>
        </w:numPr>
        <w:spacing w:line="360" w:lineRule="auto"/>
        <w:rPr>
          <w:rFonts w:ascii="仿宋" w:hAnsi="仿宋" w:eastAsia="仿宋" w:cs="宋体"/>
          <w:bCs/>
          <w:kern w:val="0"/>
          <w:sz w:val="24"/>
          <w:szCs w:val="24"/>
        </w:rPr>
      </w:pPr>
      <w:r>
        <w:rPr>
          <w:rFonts w:hint="eastAsia" w:ascii="仿宋" w:hAnsi="仿宋" w:eastAsia="仿宋" w:cs="宋体"/>
          <w:bCs/>
          <w:kern w:val="0"/>
          <w:sz w:val="24"/>
          <w:szCs w:val="24"/>
        </w:rPr>
        <w:t>“青年颗粒学奖”奖励在颗粒学及其相关领域的基础理论或应用研究中取得突出成果的卓越青年科技人才。</w:t>
      </w:r>
    </w:p>
    <w:p>
      <w:pPr>
        <w:numPr>
          <w:ilvl w:val="0"/>
          <w:numId w:val="1"/>
        </w:numPr>
        <w:tabs>
          <w:tab w:val="left" w:pos="960"/>
        </w:tabs>
        <w:spacing w:beforeLines="50" w:line="420" w:lineRule="exact"/>
        <w:ind w:left="960" w:hanging="960"/>
        <w:rPr>
          <w:rFonts w:ascii="仿宋" w:hAnsi="仿宋" w:eastAsia="仿宋" w:cs="宋体"/>
          <w:bCs/>
          <w:kern w:val="0"/>
          <w:sz w:val="24"/>
          <w:szCs w:val="24"/>
        </w:rPr>
      </w:pPr>
      <w:r>
        <w:rPr>
          <w:rFonts w:hint="eastAsia" w:ascii="仿宋" w:hAnsi="仿宋" w:eastAsia="仿宋" w:cs="宋体"/>
          <w:bCs/>
          <w:kern w:val="0"/>
          <w:sz w:val="24"/>
          <w:szCs w:val="24"/>
        </w:rPr>
        <w:t xml:space="preserve"> “优秀博士学位论文奖”申报条件：</w:t>
      </w:r>
    </w:p>
    <w:p>
      <w:pPr>
        <w:pStyle w:val="13"/>
        <w:widowControl/>
        <w:numPr>
          <w:ilvl w:val="0"/>
          <w:numId w:val="3"/>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在颗粒学及其相关科学前沿取得突出进展，研究成果达到国际同类领域先进水平，或研发成果具有突出的应用价值；</w:t>
      </w:r>
    </w:p>
    <w:p>
      <w:pPr>
        <w:pStyle w:val="13"/>
        <w:widowControl/>
        <w:numPr>
          <w:ilvl w:val="0"/>
          <w:numId w:val="3"/>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论文成果主要内容已在重要学术期刊上发表；</w:t>
      </w:r>
    </w:p>
    <w:p>
      <w:pPr>
        <w:pStyle w:val="13"/>
        <w:widowControl/>
        <w:numPr>
          <w:ilvl w:val="0"/>
          <w:numId w:val="3"/>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论文作者在评选年度以前的三个学年度内、在国内学位授予单位获得博士学位；</w:t>
      </w:r>
    </w:p>
    <w:p>
      <w:pPr>
        <w:pStyle w:val="13"/>
        <w:widowControl/>
        <w:numPr>
          <w:ilvl w:val="0"/>
          <w:numId w:val="3"/>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论文答辩前已获得副高级（含）以上职称的作者撰写的博士学位论文，以及涉密的博士学位论文，不参加评选；</w:t>
      </w:r>
    </w:p>
    <w:p>
      <w:pPr>
        <w:pStyle w:val="13"/>
        <w:widowControl/>
        <w:numPr>
          <w:ilvl w:val="0"/>
          <w:numId w:val="3"/>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每篇博士学位论文只可申报1次，已申报过的论文不再参加评选。</w:t>
      </w:r>
    </w:p>
    <w:p>
      <w:pPr>
        <w:numPr>
          <w:ilvl w:val="0"/>
          <w:numId w:val="1"/>
        </w:numPr>
        <w:tabs>
          <w:tab w:val="left" w:pos="960"/>
        </w:tabs>
        <w:spacing w:beforeLines="50" w:line="420" w:lineRule="exact"/>
        <w:ind w:left="960" w:hanging="960"/>
        <w:rPr>
          <w:rFonts w:ascii="仿宋" w:hAnsi="仿宋" w:eastAsia="仿宋" w:cs="宋体"/>
          <w:bCs/>
          <w:kern w:val="0"/>
          <w:sz w:val="24"/>
          <w:szCs w:val="24"/>
        </w:rPr>
      </w:pPr>
      <w:r>
        <w:rPr>
          <w:rFonts w:hint="eastAsia" w:ascii="仿宋" w:hAnsi="仿宋" w:eastAsia="仿宋" w:cs="宋体"/>
          <w:bCs/>
          <w:kern w:val="0"/>
          <w:sz w:val="24"/>
          <w:szCs w:val="24"/>
        </w:rPr>
        <w:t>“青年颗粒学奖”申报条件：</w:t>
      </w:r>
    </w:p>
    <w:p>
      <w:pPr>
        <w:pStyle w:val="13"/>
        <w:widowControl/>
        <w:numPr>
          <w:ilvl w:val="0"/>
          <w:numId w:val="4"/>
        </w:numPr>
        <w:spacing w:line="360" w:lineRule="auto"/>
        <w:ind w:firstLineChars="0"/>
        <w:rPr>
          <w:rFonts w:ascii="仿宋" w:hAnsi="仿宋" w:eastAsia="仿宋" w:cs="宋体"/>
          <w:bCs/>
          <w:kern w:val="0"/>
          <w:sz w:val="24"/>
          <w:szCs w:val="24"/>
        </w:rPr>
      </w:pPr>
      <w:r>
        <w:rPr>
          <w:rFonts w:ascii="仿宋" w:hAnsi="仿宋" w:eastAsia="仿宋" w:cs="宋体"/>
          <w:bCs/>
          <w:kern w:val="0"/>
          <w:sz w:val="24"/>
          <w:szCs w:val="24"/>
        </w:rPr>
        <w:t>具有“献身、创新、求实、协作”的科学精神和优良的科学道德</w:t>
      </w:r>
      <w:r>
        <w:rPr>
          <w:rFonts w:hint="eastAsia" w:ascii="仿宋" w:hAnsi="仿宋" w:eastAsia="仿宋" w:cs="宋体"/>
          <w:bCs/>
          <w:kern w:val="0"/>
          <w:sz w:val="24"/>
          <w:szCs w:val="24"/>
        </w:rPr>
        <w:t>；</w:t>
      </w:r>
    </w:p>
    <w:p>
      <w:pPr>
        <w:pStyle w:val="13"/>
        <w:widowControl/>
        <w:numPr>
          <w:ilvl w:val="0"/>
          <w:numId w:val="4"/>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符合以下条件之一：</w:t>
      </w:r>
    </w:p>
    <w:p>
      <w:pPr>
        <w:pStyle w:val="13"/>
        <w:numPr>
          <w:ilvl w:val="3"/>
          <w:numId w:val="5"/>
        </w:numPr>
        <w:spacing w:line="360" w:lineRule="auto"/>
        <w:ind w:firstLineChars="0"/>
        <w:rPr>
          <w:rFonts w:ascii="仿宋" w:hAnsi="仿宋" w:eastAsia="仿宋" w:cs="宋体"/>
          <w:bCs/>
          <w:kern w:val="0"/>
          <w:sz w:val="24"/>
          <w:szCs w:val="24"/>
        </w:rPr>
      </w:pPr>
      <w:r>
        <w:rPr>
          <w:rFonts w:ascii="仿宋" w:hAnsi="仿宋" w:eastAsia="仿宋" w:cs="宋体"/>
          <w:bCs/>
          <w:kern w:val="0"/>
          <w:sz w:val="24"/>
          <w:szCs w:val="24"/>
        </w:rPr>
        <w:t>在</w:t>
      </w:r>
      <w:r>
        <w:rPr>
          <w:rFonts w:hint="eastAsia" w:ascii="仿宋" w:hAnsi="仿宋" w:eastAsia="仿宋" w:cs="宋体"/>
          <w:bCs/>
          <w:kern w:val="0"/>
          <w:sz w:val="24"/>
          <w:szCs w:val="24"/>
        </w:rPr>
        <w:t>颗粒学</w:t>
      </w:r>
      <w:r>
        <w:rPr>
          <w:rFonts w:ascii="仿宋" w:hAnsi="仿宋" w:eastAsia="仿宋" w:cs="宋体"/>
          <w:bCs/>
          <w:kern w:val="0"/>
          <w:sz w:val="24"/>
          <w:szCs w:val="24"/>
        </w:rPr>
        <w:t>科学研究领域取得</w:t>
      </w:r>
      <w:r>
        <w:rPr>
          <w:rFonts w:hint="eastAsia" w:ascii="仿宋" w:hAnsi="仿宋" w:eastAsia="仿宋" w:cs="宋体"/>
          <w:bCs/>
          <w:kern w:val="0"/>
          <w:sz w:val="24"/>
          <w:szCs w:val="24"/>
        </w:rPr>
        <w:t>新发现、新突破，或取得阶段性或系统性</w:t>
      </w:r>
      <w:r>
        <w:rPr>
          <w:rFonts w:ascii="仿宋" w:hAnsi="仿宋" w:eastAsia="仿宋" w:cs="宋体"/>
          <w:bCs/>
          <w:kern w:val="0"/>
          <w:sz w:val="24"/>
          <w:szCs w:val="24"/>
        </w:rPr>
        <w:t>创新</w:t>
      </w:r>
      <w:r>
        <w:rPr>
          <w:rFonts w:hint="eastAsia" w:ascii="仿宋" w:hAnsi="仿宋" w:eastAsia="仿宋" w:cs="宋体"/>
          <w:bCs/>
          <w:kern w:val="0"/>
          <w:sz w:val="24"/>
          <w:szCs w:val="24"/>
        </w:rPr>
        <w:t>成果，推动了学科发展</w:t>
      </w:r>
      <w:r>
        <w:rPr>
          <w:rFonts w:ascii="仿宋" w:hAnsi="仿宋" w:eastAsia="仿宋" w:cs="宋体"/>
          <w:bCs/>
          <w:kern w:val="0"/>
          <w:sz w:val="24"/>
          <w:szCs w:val="24"/>
        </w:rPr>
        <w:t>；</w:t>
      </w:r>
    </w:p>
    <w:p>
      <w:pPr>
        <w:pStyle w:val="13"/>
        <w:numPr>
          <w:ilvl w:val="3"/>
          <w:numId w:val="5"/>
        </w:numPr>
        <w:spacing w:line="360" w:lineRule="auto"/>
        <w:ind w:firstLineChars="0"/>
        <w:rPr>
          <w:rFonts w:ascii="仿宋" w:hAnsi="仿宋" w:eastAsia="仿宋" w:cs="宋体"/>
          <w:bCs/>
          <w:kern w:val="0"/>
          <w:sz w:val="24"/>
          <w:szCs w:val="24"/>
        </w:rPr>
      </w:pPr>
      <w:r>
        <w:rPr>
          <w:rFonts w:ascii="仿宋" w:hAnsi="仿宋" w:eastAsia="仿宋" w:cs="宋体"/>
          <w:bCs/>
          <w:kern w:val="0"/>
          <w:sz w:val="24"/>
          <w:szCs w:val="24"/>
        </w:rPr>
        <w:t>在</w:t>
      </w:r>
      <w:r>
        <w:rPr>
          <w:rFonts w:hint="eastAsia" w:ascii="仿宋" w:hAnsi="仿宋" w:eastAsia="仿宋" w:cs="宋体"/>
          <w:bCs/>
          <w:kern w:val="0"/>
          <w:sz w:val="24"/>
          <w:szCs w:val="24"/>
        </w:rPr>
        <w:t>颗粒学相关</w:t>
      </w:r>
      <w:r>
        <w:rPr>
          <w:rFonts w:ascii="仿宋" w:hAnsi="仿宋" w:eastAsia="仿宋" w:cs="宋体"/>
          <w:bCs/>
          <w:kern w:val="0"/>
          <w:sz w:val="24"/>
          <w:szCs w:val="24"/>
        </w:rPr>
        <w:t>应用及工程工业领域取得独创或革新性技术突破，</w:t>
      </w:r>
      <w:r>
        <w:rPr>
          <w:rFonts w:hint="eastAsia" w:ascii="仿宋" w:hAnsi="仿宋" w:eastAsia="仿宋" w:cs="宋体"/>
          <w:bCs/>
          <w:kern w:val="0"/>
          <w:sz w:val="24"/>
          <w:szCs w:val="24"/>
        </w:rPr>
        <w:t>对国民经济或国家战略需求具有突出性实质贡献</w:t>
      </w:r>
      <w:r>
        <w:rPr>
          <w:rFonts w:ascii="仿宋" w:hAnsi="仿宋" w:eastAsia="仿宋" w:cs="宋体"/>
          <w:bCs/>
          <w:kern w:val="0"/>
          <w:sz w:val="24"/>
          <w:szCs w:val="24"/>
        </w:rPr>
        <w:t>；</w:t>
      </w:r>
    </w:p>
    <w:p>
      <w:pPr>
        <w:pStyle w:val="13"/>
        <w:numPr>
          <w:ilvl w:val="3"/>
          <w:numId w:val="5"/>
        </w:numPr>
        <w:spacing w:line="360" w:lineRule="auto"/>
        <w:ind w:firstLineChars="0"/>
        <w:rPr>
          <w:rFonts w:ascii="仿宋" w:hAnsi="仿宋" w:eastAsia="仿宋" w:cs="宋体"/>
          <w:bCs/>
          <w:kern w:val="0"/>
          <w:sz w:val="24"/>
          <w:szCs w:val="24"/>
        </w:rPr>
      </w:pPr>
      <w:r>
        <w:rPr>
          <w:rFonts w:ascii="仿宋" w:hAnsi="仿宋" w:eastAsia="仿宋" w:cs="宋体"/>
          <w:bCs/>
          <w:kern w:val="0"/>
          <w:sz w:val="24"/>
          <w:szCs w:val="24"/>
        </w:rPr>
        <w:t>在</w:t>
      </w:r>
      <w:r>
        <w:rPr>
          <w:rFonts w:hint="eastAsia" w:ascii="仿宋" w:hAnsi="仿宋" w:eastAsia="仿宋" w:cs="宋体"/>
          <w:bCs/>
          <w:kern w:val="0"/>
          <w:sz w:val="24"/>
          <w:szCs w:val="24"/>
        </w:rPr>
        <w:t>颗粒学相关</w:t>
      </w:r>
      <w:r>
        <w:rPr>
          <w:rFonts w:ascii="仿宋" w:hAnsi="仿宋" w:eastAsia="仿宋" w:cs="宋体"/>
          <w:bCs/>
          <w:kern w:val="0"/>
          <w:sz w:val="24"/>
          <w:szCs w:val="24"/>
        </w:rPr>
        <w:t>科技普及、科技成果推广转化、科技管理工作中取得突出成绩，产生显著的经济效益、社会效益</w:t>
      </w:r>
      <w:r>
        <w:rPr>
          <w:rFonts w:hint="eastAsia" w:ascii="仿宋" w:hAnsi="仿宋" w:eastAsia="仿宋" w:cs="宋体"/>
          <w:bCs/>
          <w:kern w:val="0"/>
          <w:sz w:val="24"/>
          <w:szCs w:val="24"/>
        </w:rPr>
        <w:t>或环境效益</w:t>
      </w:r>
      <w:r>
        <w:rPr>
          <w:rFonts w:ascii="仿宋" w:hAnsi="仿宋" w:eastAsia="仿宋" w:cs="宋体"/>
          <w:bCs/>
          <w:kern w:val="0"/>
          <w:sz w:val="24"/>
          <w:szCs w:val="24"/>
        </w:rPr>
        <w:t>。</w:t>
      </w:r>
    </w:p>
    <w:p>
      <w:pPr>
        <w:pStyle w:val="13"/>
        <w:widowControl/>
        <w:numPr>
          <w:ilvl w:val="0"/>
          <w:numId w:val="4"/>
        </w:numPr>
        <w:spacing w:line="360" w:lineRule="auto"/>
        <w:ind w:firstLineChars="0"/>
        <w:rPr>
          <w:rFonts w:ascii="仿宋" w:hAnsi="仿宋" w:eastAsia="仿宋" w:cs="宋体"/>
          <w:bCs/>
          <w:kern w:val="0"/>
          <w:sz w:val="24"/>
          <w:szCs w:val="24"/>
        </w:rPr>
      </w:pPr>
      <w:r>
        <w:rPr>
          <w:rFonts w:ascii="仿宋" w:hAnsi="仿宋" w:eastAsia="仿宋" w:cs="宋体"/>
          <w:bCs/>
          <w:kern w:val="0"/>
          <w:sz w:val="24"/>
          <w:szCs w:val="24"/>
        </w:rPr>
        <w:t>上述成果应在国内取得，候选人应为科研成果的首要贡献者</w:t>
      </w:r>
      <w:r>
        <w:rPr>
          <w:rFonts w:hint="eastAsia" w:ascii="仿宋" w:hAnsi="仿宋" w:eastAsia="仿宋" w:cs="宋体"/>
          <w:bCs/>
          <w:kern w:val="0"/>
          <w:sz w:val="24"/>
          <w:szCs w:val="24"/>
        </w:rPr>
        <w:t>。</w:t>
      </w:r>
      <w:r>
        <w:rPr>
          <w:rFonts w:ascii="仿宋" w:hAnsi="仿宋" w:eastAsia="仿宋" w:cs="宋体"/>
          <w:bCs/>
          <w:kern w:val="0"/>
          <w:sz w:val="24"/>
          <w:szCs w:val="24"/>
        </w:rPr>
        <w:t>做出成果时</w:t>
      </w:r>
      <w:r>
        <w:rPr>
          <w:rFonts w:hint="eastAsia" w:ascii="仿宋" w:hAnsi="仿宋" w:eastAsia="仿宋" w:cs="宋体"/>
          <w:bCs/>
          <w:kern w:val="0"/>
          <w:sz w:val="24"/>
          <w:szCs w:val="24"/>
          <w:lang w:val="en-US" w:eastAsia="zh-CN"/>
        </w:rPr>
        <w:t>一般</w:t>
      </w:r>
      <w:r>
        <w:rPr>
          <w:rFonts w:hint="eastAsia" w:ascii="仿宋" w:hAnsi="仿宋" w:eastAsia="仿宋" w:cs="宋体"/>
          <w:bCs/>
          <w:kern w:val="0"/>
          <w:sz w:val="24"/>
          <w:szCs w:val="24"/>
        </w:rPr>
        <w:t>≤</w:t>
      </w:r>
      <w:r>
        <w:rPr>
          <w:rFonts w:ascii="仿宋" w:hAnsi="仿宋" w:eastAsia="仿宋" w:cs="宋体"/>
          <w:bCs/>
          <w:kern w:val="0"/>
          <w:sz w:val="24"/>
          <w:szCs w:val="24"/>
        </w:rPr>
        <w:t>40周岁，申报时</w:t>
      </w:r>
      <w:r>
        <w:rPr>
          <w:rFonts w:hint="eastAsia" w:ascii="仿宋" w:hAnsi="仿宋" w:eastAsia="仿宋" w:cs="宋体"/>
          <w:bCs/>
          <w:kern w:val="0"/>
          <w:sz w:val="24"/>
          <w:szCs w:val="24"/>
          <w:lang w:val="en-US" w:eastAsia="zh-CN"/>
        </w:rPr>
        <w:t>一般</w:t>
      </w:r>
      <w:r>
        <w:rPr>
          <w:rFonts w:hint="eastAsia" w:ascii="仿宋" w:hAnsi="仿宋" w:eastAsia="仿宋" w:cs="宋体"/>
          <w:bCs/>
          <w:kern w:val="0"/>
          <w:sz w:val="24"/>
          <w:szCs w:val="24"/>
        </w:rPr>
        <w:t>≤</w:t>
      </w:r>
      <w:r>
        <w:rPr>
          <w:rFonts w:ascii="仿宋" w:hAnsi="仿宋" w:eastAsia="仿宋" w:cs="宋体"/>
          <w:bCs/>
          <w:kern w:val="0"/>
          <w:sz w:val="24"/>
          <w:szCs w:val="24"/>
        </w:rPr>
        <w:t>42周岁</w:t>
      </w:r>
      <w:r>
        <w:rPr>
          <w:rFonts w:hint="eastAsia" w:ascii="仿宋" w:hAnsi="仿宋" w:eastAsia="仿宋" w:cs="宋体"/>
          <w:bCs/>
          <w:kern w:val="0"/>
          <w:sz w:val="24"/>
          <w:szCs w:val="24"/>
        </w:rPr>
        <w:t>。</w:t>
      </w:r>
    </w:p>
    <w:p>
      <w:pPr>
        <w:numPr>
          <w:ilvl w:val="0"/>
          <w:numId w:val="1"/>
        </w:numPr>
        <w:tabs>
          <w:tab w:val="left" w:pos="960"/>
        </w:tabs>
        <w:spacing w:beforeLines="50" w:line="420" w:lineRule="exact"/>
        <w:ind w:left="960" w:hanging="960"/>
        <w:rPr>
          <w:rFonts w:ascii="仿宋" w:hAnsi="仿宋" w:eastAsia="仿宋" w:cs="宋体"/>
          <w:bCs/>
          <w:kern w:val="0"/>
          <w:sz w:val="24"/>
          <w:szCs w:val="24"/>
        </w:rPr>
      </w:pPr>
      <w:r>
        <w:rPr>
          <w:rFonts w:hint="eastAsia" w:ascii="仿宋" w:hAnsi="仿宋" w:eastAsia="仿宋" w:cs="宋体"/>
          <w:bCs/>
          <w:kern w:val="0"/>
          <w:sz w:val="24"/>
          <w:szCs w:val="24"/>
        </w:rPr>
        <w:t>本奖项面向学会全体会员，获奖者由学会统一颁发奖牌、证书、奖金。</w:t>
      </w:r>
    </w:p>
    <w:p>
      <w:pPr>
        <w:tabs>
          <w:tab w:val="left" w:pos="0"/>
        </w:tabs>
        <w:spacing w:before="360" w:line="420" w:lineRule="exact"/>
        <w:jc w:val="center"/>
        <w:rPr>
          <w:rFonts w:ascii="仿宋" w:hAnsi="仿宋" w:eastAsia="仿宋" w:cs="Times New Roman"/>
          <w:b/>
          <w:sz w:val="28"/>
          <w:szCs w:val="20"/>
        </w:rPr>
      </w:pPr>
      <w:r>
        <w:rPr>
          <w:rFonts w:ascii="仿宋" w:hAnsi="仿宋" w:eastAsia="仿宋" w:cs="Times New Roman"/>
          <w:b/>
          <w:sz w:val="28"/>
          <w:szCs w:val="20"/>
        </w:rPr>
        <w:t>第</w:t>
      </w:r>
      <w:r>
        <w:rPr>
          <w:rFonts w:hint="eastAsia" w:ascii="仿宋" w:hAnsi="仿宋" w:eastAsia="仿宋" w:cs="Times New Roman"/>
          <w:b/>
          <w:sz w:val="28"/>
          <w:szCs w:val="20"/>
        </w:rPr>
        <w:t>三</w:t>
      </w:r>
      <w:r>
        <w:rPr>
          <w:rFonts w:ascii="仿宋" w:hAnsi="仿宋" w:eastAsia="仿宋" w:cs="Times New Roman"/>
          <w:b/>
          <w:sz w:val="28"/>
          <w:szCs w:val="20"/>
        </w:rPr>
        <w:t>章</w:t>
      </w:r>
      <w:r>
        <w:rPr>
          <w:rFonts w:ascii="仿宋" w:hAnsi="仿宋" w:eastAsia="仿宋" w:cs="Times New Roman"/>
          <w:b/>
          <w:sz w:val="28"/>
          <w:szCs w:val="20"/>
        </w:rPr>
        <w:tab/>
      </w:r>
      <w:r>
        <w:rPr>
          <w:rFonts w:hint="eastAsia" w:ascii="仿宋" w:hAnsi="仿宋" w:eastAsia="仿宋" w:cs="Times New Roman"/>
          <w:b/>
          <w:sz w:val="28"/>
          <w:szCs w:val="20"/>
        </w:rPr>
        <w:t>推荐</w:t>
      </w:r>
      <w:r>
        <w:rPr>
          <w:rFonts w:ascii="仿宋" w:hAnsi="仿宋" w:eastAsia="仿宋" w:cs="Times New Roman"/>
          <w:b/>
          <w:sz w:val="28"/>
          <w:szCs w:val="20"/>
        </w:rPr>
        <w:t>渠道</w:t>
      </w:r>
      <w:r>
        <w:rPr>
          <w:rFonts w:hint="eastAsia" w:ascii="仿宋" w:hAnsi="仿宋" w:eastAsia="仿宋" w:cs="Times New Roman"/>
          <w:b/>
          <w:sz w:val="28"/>
          <w:szCs w:val="20"/>
        </w:rPr>
        <w:t>和</w:t>
      </w:r>
      <w:r>
        <w:rPr>
          <w:rFonts w:ascii="仿宋" w:hAnsi="仿宋" w:eastAsia="仿宋" w:cs="Times New Roman"/>
          <w:b/>
          <w:sz w:val="28"/>
          <w:szCs w:val="20"/>
        </w:rPr>
        <w:t>申报</w:t>
      </w:r>
      <w:r>
        <w:rPr>
          <w:rFonts w:hint="eastAsia" w:ascii="仿宋" w:hAnsi="仿宋" w:eastAsia="仿宋" w:cs="Times New Roman"/>
          <w:b/>
          <w:sz w:val="28"/>
          <w:szCs w:val="20"/>
        </w:rPr>
        <w:t>流程</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本奖项推荐渠道：</w:t>
      </w:r>
    </w:p>
    <w:p>
      <w:pPr>
        <w:pStyle w:val="13"/>
        <w:widowControl/>
        <w:numPr>
          <w:ilvl w:val="0"/>
          <w:numId w:val="6"/>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学会所属分支机构：专业委员会/工作委员会/工作组；</w:t>
      </w:r>
      <w:r>
        <w:rPr>
          <w:rFonts w:ascii="Calibri" w:hAnsi="Calibri" w:eastAsia="仿宋" w:cs="Calibri"/>
          <w:bCs/>
          <w:kern w:val="0"/>
          <w:sz w:val="24"/>
          <w:szCs w:val="24"/>
        </w:rPr>
        <w:t> </w:t>
      </w:r>
    </w:p>
    <w:p>
      <w:pPr>
        <w:pStyle w:val="13"/>
        <w:widowControl/>
        <w:numPr>
          <w:ilvl w:val="0"/>
          <w:numId w:val="6"/>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各省/自治区/直辖市颗粒学会；</w:t>
      </w:r>
    </w:p>
    <w:p>
      <w:pPr>
        <w:pStyle w:val="13"/>
        <w:widowControl/>
        <w:numPr>
          <w:ilvl w:val="0"/>
          <w:numId w:val="6"/>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与颗粒学相关的学会/协会等；</w:t>
      </w:r>
    </w:p>
    <w:p>
      <w:pPr>
        <w:pStyle w:val="13"/>
        <w:widowControl/>
        <w:numPr>
          <w:ilvl w:val="0"/>
          <w:numId w:val="6"/>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学会团体会员单位；</w:t>
      </w:r>
    </w:p>
    <w:p>
      <w:pPr>
        <w:pStyle w:val="13"/>
        <w:widowControl/>
        <w:numPr>
          <w:ilvl w:val="0"/>
          <w:numId w:val="6"/>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颗粒学及相关专业领域两院院士；</w:t>
      </w:r>
    </w:p>
    <w:p>
      <w:pPr>
        <w:pStyle w:val="13"/>
        <w:widowControl/>
        <w:numPr>
          <w:ilvl w:val="0"/>
          <w:numId w:val="6"/>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学会理事；</w:t>
      </w:r>
    </w:p>
    <w:p>
      <w:pPr>
        <w:pStyle w:val="13"/>
        <w:widowControl/>
        <w:numPr>
          <w:ilvl w:val="0"/>
          <w:numId w:val="6"/>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学会专家委员会委员；</w:t>
      </w:r>
    </w:p>
    <w:p>
      <w:pPr>
        <w:pStyle w:val="13"/>
        <w:widowControl/>
        <w:numPr>
          <w:ilvl w:val="0"/>
          <w:numId w:val="6"/>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本奖项历届获奖者。</w:t>
      </w:r>
    </w:p>
    <w:p>
      <w:pPr>
        <w:widowControl/>
        <w:spacing w:line="360" w:lineRule="auto"/>
        <w:ind w:left="850"/>
        <w:rPr>
          <w:rFonts w:ascii="仿宋" w:hAnsi="仿宋" w:eastAsia="仿宋" w:cs="宋体"/>
          <w:kern w:val="0"/>
          <w:sz w:val="24"/>
          <w:szCs w:val="24"/>
        </w:rPr>
      </w:pPr>
      <w:r>
        <w:rPr>
          <w:rFonts w:hint="eastAsia" w:ascii="仿宋" w:hAnsi="仿宋" w:eastAsia="仿宋" w:cs="宋体"/>
          <w:kern w:val="0"/>
          <w:sz w:val="24"/>
          <w:szCs w:val="24"/>
        </w:rPr>
        <w:t>本奖项需由</w:t>
      </w:r>
      <w:r>
        <w:rPr>
          <w:rFonts w:ascii="仿宋" w:hAnsi="仿宋" w:eastAsia="仿宋" w:cs="宋体"/>
          <w:kern w:val="0"/>
          <w:sz w:val="24"/>
          <w:szCs w:val="24"/>
        </w:rPr>
        <w:t>1个团体或</w:t>
      </w:r>
      <w:r>
        <w:rPr>
          <w:rFonts w:hint="eastAsia" w:ascii="仿宋" w:hAnsi="仿宋" w:eastAsia="仿宋" w:cs="宋体"/>
          <w:kern w:val="0"/>
          <w:sz w:val="24"/>
          <w:szCs w:val="24"/>
        </w:rPr>
        <w:t>个</w:t>
      </w:r>
      <w:r>
        <w:rPr>
          <w:rFonts w:ascii="仿宋" w:hAnsi="仿宋" w:eastAsia="仿宋" w:cs="宋体"/>
          <w:kern w:val="0"/>
          <w:sz w:val="24"/>
          <w:szCs w:val="24"/>
        </w:rPr>
        <w:t>人推荐方可申报。</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本奖项申报流程：</w:t>
      </w:r>
    </w:p>
    <w:p>
      <w:pPr>
        <w:pStyle w:val="13"/>
        <w:widowControl/>
        <w:numPr>
          <w:ilvl w:val="0"/>
          <w:numId w:val="7"/>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本奖项申报团队和个人需要提供完整申报材料，才能申报本奖励；</w:t>
      </w:r>
    </w:p>
    <w:p>
      <w:pPr>
        <w:pStyle w:val="13"/>
        <w:widowControl/>
        <w:numPr>
          <w:ilvl w:val="0"/>
          <w:numId w:val="7"/>
        </w:numPr>
        <w:spacing w:line="360" w:lineRule="auto"/>
        <w:ind w:firstLineChars="0"/>
        <w:rPr>
          <w:rFonts w:ascii="仿宋" w:hAnsi="仿宋" w:eastAsia="仿宋" w:cs="宋体"/>
          <w:bCs/>
          <w:kern w:val="0"/>
          <w:sz w:val="24"/>
          <w:szCs w:val="24"/>
        </w:rPr>
      </w:pPr>
      <w:r>
        <w:rPr>
          <w:rFonts w:ascii="仿宋" w:hAnsi="仿宋" w:eastAsia="仿宋" w:cs="宋体"/>
          <w:bCs/>
          <w:kern w:val="0"/>
          <w:sz w:val="24"/>
          <w:szCs w:val="24"/>
        </w:rPr>
        <w:t>申报材料包括《中国颗粒学会颗粒学奖推荐</w:t>
      </w:r>
      <w:r>
        <w:rPr>
          <w:rFonts w:hint="eastAsia" w:ascii="仿宋" w:hAnsi="仿宋" w:eastAsia="仿宋" w:cs="宋体"/>
          <w:bCs/>
          <w:kern w:val="0"/>
          <w:sz w:val="24"/>
          <w:szCs w:val="24"/>
        </w:rPr>
        <w:t>书》和《中国颗粒学会颗粒学奖申报书》及相关支撑材料的电子版和纸质版；</w:t>
      </w:r>
    </w:p>
    <w:p>
      <w:pPr>
        <w:pStyle w:val="13"/>
        <w:widowControl/>
        <w:numPr>
          <w:ilvl w:val="0"/>
          <w:numId w:val="7"/>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申报材料通过学会奖励系统提交，并参照系统说明报送纸质原件；</w:t>
      </w:r>
    </w:p>
    <w:p>
      <w:pPr>
        <w:pStyle w:val="13"/>
        <w:widowControl/>
        <w:numPr>
          <w:ilvl w:val="0"/>
          <w:numId w:val="7"/>
        </w:numPr>
        <w:spacing w:line="360" w:lineRule="auto"/>
        <w:ind w:firstLineChars="0"/>
        <w:rPr>
          <w:rFonts w:ascii="仿宋" w:hAnsi="仿宋" w:eastAsia="仿宋" w:cs="宋体"/>
          <w:bCs/>
          <w:kern w:val="0"/>
          <w:sz w:val="24"/>
          <w:szCs w:val="24"/>
        </w:rPr>
      </w:pPr>
      <w:r>
        <w:rPr>
          <w:rFonts w:hint="eastAsia" w:ascii="仿宋" w:hAnsi="仿宋" w:eastAsia="仿宋" w:cs="宋体"/>
          <w:bCs/>
          <w:kern w:val="0"/>
          <w:sz w:val="24"/>
          <w:szCs w:val="24"/>
        </w:rPr>
        <w:t>申报时间以奖励年度日程公布日期为准</w:t>
      </w:r>
      <w:r>
        <w:rPr>
          <w:rFonts w:ascii="仿宋" w:hAnsi="仿宋" w:eastAsia="仿宋" w:cs="宋体"/>
          <w:bCs/>
          <w:kern w:val="0"/>
          <w:sz w:val="24"/>
          <w:szCs w:val="24"/>
        </w:rPr>
        <w:t>。</w:t>
      </w:r>
    </w:p>
    <w:p>
      <w:pPr>
        <w:tabs>
          <w:tab w:val="left" w:pos="0"/>
        </w:tabs>
        <w:spacing w:before="360" w:line="420" w:lineRule="exact"/>
        <w:jc w:val="center"/>
        <w:rPr>
          <w:rFonts w:ascii="仿宋" w:hAnsi="仿宋" w:eastAsia="仿宋" w:cs="Times New Roman"/>
          <w:b/>
          <w:sz w:val="28"/>
          <w:szCs w:val="20"/>
        </w:rPr>
      </w:pPr>
      <w:r>
        <w:rPr>
          <w:rFonts w:ascii="仿宋" w:hAnsi="仿宋" w:eastAsia="仿宋" w:cs="Times New Roman"/>
          <w:b/>
          <w:sz w:val="28"/>
          <w:szCs w:val="20"/>
        </w:rPr>
        <w:t>第</w:t>
      </w:r>
      <w:r>
        <w:rPr>
          <w:rFonts w:hint="eastAsia" w:ascii="仿宋" w:hAnsi="仿宋" w:eastAsia="仿宋" w:cs="Times New Roman"/>
          <w:b/>
          <w:sz w:val="28"/>
          <w:szCs w:val="20"/>
        </w:rPr>
        <w:t>四</w:t>
      </w:r>
      <w:r>
        <w:rPr>
          <w:rFonts w:ascii="仿宋" w:hAnsi="仿宋" w:eastAsia="仿宋" w:cs="Times New Roman"/>
          <w:b/>
          <w:sz w:val="28"/>
          <w:szCs w:val="20"/>
        </w:rPr>
        <w:t>章</w:t>
      </w:r>
      <w:r>
        <w:rPr>
          <w:rFonts w:ascii="仿宋" w:hAnsi="仿宋" w:eastAsia="仿宋" w:cs="Times New Roman"/>
          <w:b/>
          <w:sz w:val="28"/>
          <w:szCs w:val="20"/>
        </w:rPr>
        <w:tab/>
      </w:r>
      <w:r>
        <w:rPr>
          <w:rFonts w:ascii="仿宋" w:hAnsi="仿宋" w:eastAsia="仿宋" w:cs="Times New Roman"/>
          <w:b/>
          <w:sz w:val="28"/>
          <w:szCs w:val="20"/>
        </w:rPr>
        <w:t>评审和授奖</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本奖项每年通过学会官网及相关媒体</w:t>
      </w:r>
      <w:r>
        <w:rPr>
          <w:rFonts w:ascii="仿宋" w:hAnsi="仿宋" w:eastAsia="仿宋" w:cs="Times New Roman"/>
          <w:sz w:val="24"/>
          <w:szCs w:val="20"/>
        </w:rPr>
        <w:t>发布申报通知，</w:t>
      </w:r>
      <w:r>
        <w:rPr>
          <w:rFonts w:hint="eastAsia" w:ascii="仿宋" w:hAnsi="仿宋" w:eastAsia="仿宋" w:cs="Times New Roman"/>
          <w:sz w:val="24"/>
          <w:szCs w:val="20"/>
        </w:rPr>
        <w:t>在学会官网</w:t>
      </w:r>
      <w:r>
        <w:rPr>
          <w:rFonts w:ascii="仿宋" w:hAnsi="仿宋" w:eastAsia="仿宋" w:cs="Times New Roman"/>
          <w:sz w:val="24"/>
          <w:szCs w:val="20"/>
        </w:rPr>
        <w:t>公示和公布获奖结果，</w:t>
      </w:r>
      <w:r>
        <w:rPr>
          <w:rFonts w:hint="eastAsia" w:ascii="仿宋" w:hAnsi="仿宋" w:eastAsia="仿宋" w:cs="Times New Roman"/>
          <w:sz w:val="24"/>
          <w:szCs w:val="20"/>
        </w:rPr>
        <w:t>在学会主办的学术活动上</w:t>
      </w:r>
      <w:r>
        <w:rPr>
          <w:rFonts w:ascii="仿宋" w:hAnsi="仿宋" w:eastAsia="仿宋" w:cs="Times New Roman"/>
          <w:sz w:val="24"/>
          <w:szCs w:val="20"/>
        </w:rPr>
        <w:t>颁奖。</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本奖项由“函评”及“会评”评选产生获奖人选。</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本奖项授奖比例不超过报奖成果的</w:t>
      </w:r>
      <w:r>
        <w:rPr>
          <w:rFonts w:ascii="仿宋" w:hAnsi="仿宋" w:eastAsia="仿宋" w:cs="Times New Roman"/>
          <w:sz w:val="24"/>
          <w:szCs w:val="20"/>
        </w:rPr>
        <w:t>30%</w:t>
      </w:r>
      <w:r>
        <w:rPr>
          <w:rFonts w:hint="eastAsia" w:ascii="仿宋" w:hAnsi="仿宋" w:eastAsia="仿宋" w:cs="Times New Roman"/>
          <w:sz w:val="24"/>
          <w:szCs w:val="20"/>
          <w:lang w:eastAsia="zh-CN"/>
        </w:rPr>
        <w:t>，其中“优秀博士论文”奖每年组织评选1次，“青年颗粒学奖”每两年组织评选1次</w:t>
      </w:r>
      <w:bookmarkStart w:id="2" w:name="_GoBack"/>
      <w:bookmarkEnd w:id="2"/>
      <w:r>
        <w:rPr>
          <w:rFonts w:hint="eastAsia" w:ascii="仿宋" w:hAnsi="仿宋" w:eastAsia="仿宋" w:cs="Times New Roman"/>
          <w:sz w:val="24"/>
          <w:szCs w:val="20"/>
        </w:rPr>
        <w:t>。</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ascii="仿宋" w:hAnsi="仿宋" w:eastAsia="仿宋" w:cs="Times New Roman"/>
          <w:sz w:val="24"/>
          <w:szCs w:val="20"/>
        </w:rPr>
        <w:t>本奖项的评审实行回避制度</w:t>
      </w:r>
      <w:r>
        <w:rPr>
          <w:rFonts w:hint="eastAsia" w:ascii="仿宋" w:hAnsi="仿宋" w:eastAsia="仿宋" w:cs="Times New Roman"/>
          <w:sz w:val="24"/>
          <w:szCs w:val="20"/>
        </w:rPr>
        <w:t>。</w:t>
      </w:r>
      <w:bookmarkStart w:id="0" w:name="_Hlk34671035"/>
      <w:r>
        <w:rPr>
          <w:rFonts w:hint="eastAsia" w:ascii="仿宋" w:hAnsi="仿宋" w:eastAsia="仿宋" w:cs="Times New Roman"/>
          <w:sz w:val="24"/>
          <w:szCs w:val="20"/>
        </w:rPr>
        <w:t>各奖项申请者和推荐人不得作为评审委员参加当年该奖项的评审工作。与被推荐项目有利害关系的评审委员应当回避。</w:t>
      </w:r>
      <w:bookmarkEnd w:id="0"/>
    </w:p>
    <w:p>
      <w:pPr>
        <w:numPr>
          <w:ilvl w:val="0"/>
          <w:numId w:val="1"/>
        </w:numPr>
        <w:tabs>
          <w:tab w:val="left" w:pos="960"/>
        </w:tabs>
        <w:spacing w:beforeLines="50" w:line="360" w:lineRule="auto"/>
        <w:ind w:left="958" w:hanging="958"/>
        <w:rPr>
          <w:rFonts w:ascii="仿宋" w:hAnsi="仿宋" w:eastAsia="仿宋" w:cs="Times New Roman"/>
          <w:sz w:val="24"/>
          <w:szCs w:val="20"/>
        </w:rPr>
      </w:pPr>
      <w:bookmarkStart w:id="1" w:name="_Hlk34068530"/>
      <w:r>
        <w:rPr>
          <w:rFonts w:hint="eastAsia" w:ascii="仿宋" w:hAnsi="仿宋" w:eastAsia="仿宋" w:cs="Times New Roman"/>
          <w:sz w:val="24"/>
          <w:szCs w:val="20"/>
        </w:rPr>
        <w:t>不建议已获得国家奖、省部级奖及其它社会力量设立的奖励的项目申报本奖项。</w:t>
      </w:r>
    </w:p>
    <w:bookmarkEnd w:id="1"/>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对学术不端者，经查证属实，将撤销其奖励。处理结果将在学会相关媒体上予以公告。</w:t>
      </w:r>
    </w:p>
    <w:p>
      <w:pPr>
        <w:tabs>
          <w:tab w:val="left" w:pos="0"/>
        </w:tabs>
        <w:spacing w:before="360" w:line="420" w:lineRule="exact"/>
        <w:jc w:val="center"/>
        <w:rPr>
          <w:rFonts w:ascii="仿宋" w:hAnsi="仿宋" w:eastAsia="仿宋" w:cs="Times New Roman"/>
          <w:b/>
          <w:sz w:val="28"/>
          <w:szCs w:val="20"/>
        </w:rPr>
      </w:pPr>
      <w:r>
        <w:rPr>
          <w:rFonts w:ascii="仿宋" w:hAnsi="仿宋" w:eastAsia="仿宋" w:cs="Times New Roman"/>
          <w:b/>
          <w:sz w:val="28"/>
          <w:szCs w:val="20"/>
        </w:rPr>
        <w:t>第</w:t>
      </w:r>
      <w:r>
        <w:rPr>
          <w:rFonts w:hint="eastAsia" w:ascii="仿宋" w:hAnsi="仿宋" w:eastAsia="仿宋" w:cs="Times New Roman"/>
          <w:b/>
          <w:sz w:val="28"/>
          <w:szCs w:val="20"/>
        </w:rPr>
        <w:t>五</w:t>
      </w:r>
      <w:r>
        <w:rPr>
          <w:rFonts w:ascii="仿宋" w:hAnsi="仿宋" w:eastAsia="仿宋" w:cs="Times New Roman"/>
          <w:b/>
          <w:sz w:val="28"/>
          <w:szCs w:val="20"/>
        </w:rPr>
        <w:t>章</w:t>
      </w:r>
      <w:r>
        <w:rPr>
          <w:rFonts w:ascii="仿宋" w:hAnsi="仿宋" w:eastAsia="仿宋" w:cs="Times New Roman"/>
          <w:b/>
          <w:sz w:val="28"/>
          <w:szCs w:val="20"/>
        </w:rPr>
        <w:tab/>
      </w:r>
      <w:r>
        <w:rPr>
          <w:rFonts w:ascii="仿宋" w:hAnsi="仿宋" w:eastAsia="仿宋" w:cs="Times New Roman"/>
          <w:b/>
          <w:sz w:val="28"/>
          <w:szCs w:val="20"/>
        </w:rPr>
        <w:t>附则</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ascii="仿宋" w:hAnsi="仿宋" w:eastAsia="仿宋" w:cs="Times New Roman"/>
          <w:sz w:val="24"/>
          <w:szCs w:val="20"/>
        </w:rPr>
        <w:t>本办法</w:t>
      </w:r>
      <w:r>
        <w:rPr>
          <w:rFonts w:hint="eastAsia" w:ascii="仿宋" w:hAnsi="仿宋" w:eastAsia="仿宋" w:cs="Times New Roman"/>
          <w:sz w:val="24"/>
          <w:szCs w:val="20"/>
        </w:rPr>
        <w:t>所提及年限是以自然年份为准，如202</w:t>
      </w:r>
      <w:r>
        <w:rPr>
          <w:rFonts w:hint="eastAsia" w:ascii="仿宋" w:hAnsi="仿宋" w:eastAsia="仿宋" w:cs="Times New Roman"/>
          <w:sz w:val="24"/>
          <w:szCs w:val="20"/>
          <w:lang w:val="en-US" w:eastAsia="zh-CN"/>
        </w:rPr>
        <w:t>2</w:t>
      </w:r>
      <w:r>
        <w:rPr>
          <w:rFonts w:hint="eastAsia" w:ascii="仿宋" w:hAnsi="仿宋" w:eastAsia="仿宋" w:cs="Times New Roman"/>
          <w:sz w:val="24"/>
          <w:szCs w:val="20"/>
        </w:rPr>
        <w:t>年青年颗粒学奖申报人需在19</w:t>
      </w:r>
      <w:r>
        <w:rPr>
          <w:rFonts w:hint="eastAsia" w:ascii="仿宋" w:hAnsi="仿宋" w:eastAsia="仿宋" w:cs="Times New Roman"/>
          <w:sz w:val="24"/>
          <w:szCs w:val="20"/>
          <w:lang w:val="en-US" w:eastAsia="zh-CN"/>
        </w:rPr>
        <w:t>80</w:t>
      </w:r>
      <w:r>
        <w:rPr>
          <w:rFonts w:hint="eastAsia" w:ascii="仿宋" w:hAnsi="仿宋" w:eastAsia="仿宋" w:cs="Times New Roman"/>
          <w:sz w:val="24"/>
          <w:szCs w:val="20"/>
        </w:rPr>
        <w:t>年1月1日之后出生。</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hint="eastAsia" w:ascii="仿宋" w:hAnsi="仿宋" w:eastAsia="仿宋" w:cs="Times New Roman"/>
          <w:sz w:val="24"/>
          <w:szCs w:val="20"/>
        </w:rPr>
        <w:t>本办法由中国颗粒学会常务理事会通过后生效，</w:t>
      </w:r>
      <w:r>
        <w:rPr>
          <w:rFonts w:ascii="仿宋" w:hAnsi="仿宋" w:eastAsia="仿宋" w:cs="Times New Roman"/>
          <w:sz w:val="24"/>
          <w:szCs w:val="20"/>
        </w:rPr>
        <w:t>由学会奖励</w:t>
      </w:r>
      <w:r>
        <w:rPr>
          <w:rFonts w:hint="eastAsia" w:ascii="仿宋" w:hAnsi="仿宋" w:eastAsia="仿宋" w:cs="Times New Roman"/>
          <w:sz w:val="24"/>
          <w:szCs w:val="20"/>
        </w:rPr>
        <w:t>工作委员会</w:t>
      </w:r>
      <w:r>
        <w:rPr>
          <w:rFonts w:ascii="仿宋" w:hAnsi="仿宋" w:eastAsia="仿宋" w:cs="Times New Roman"/>
          <w:sz w:val="24"/>
          <w:szCs w:val="20"/>
        </w:rPr>
        <w:t>负责解释</w:t>
      </w:r>
      <w:r>
        <w:rPr>
          <w:rFonts w:hint="eastAsia" w:ascii="仿宋" w:hAnsi="仿宋" w:eastAsia="仿宋" w:cs="Times New Roman"/>
          <w:sz w:val="24"/>
          <w:szCs w:val="20"/>
        </w:rPr>
        <w:t>。</w:t>
      </w:r>
    </w:p>
    <w:p>
      <w:pPr>
        <w:numPr>
          <w:ilvl w:val="0"/>
          <w:numId w:val="1"/>
        </w:numPr>
        <w:tabs>
          <w:tab w:val="left" w:pos="960"/>
        </w:tabs>
        <w:spacing w:beforeLines="50" w:line="360" w:lineRule="auto"/>
        <w:ind w:left="958" w:hanging="958"/>
        <w:rPr>
          <w:rFonts w:ascii="仿宋" w:hAnsi="仿宋" w:eastAsia="仿宋" w:cs="Times New Roman"/>
          <w:sz w:val="24"/>
          <w:szCs w:val="20"/>
        </w:rPr>
      </w:pPr>
      <w:r>
        <w:rPr>
          <w:rFonts w:ascii="仿宋" w:hAnsi="仿宋" w:eastAsia="仿宋" w:cs="Times New Roman"/>
          <w:sz w:val="24"/>
          <w:szCs w:val="20"/>
        </w:rPr>
        <w:t>本办法自发布之日起实施。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62295"/>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2121C5"/>
    <w:multiLevelType w:val="multilevel"/>
    <w:tmpl w:val="072121C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2572B0D"/>
    <w:multiLevelType w:val="multilevel"/>
    <w:tmpl w:val="22572B0D"/>
    <w:lvl w:ilvl="0" w:tentative="0">
      <w:start w:val="1"/>
      <w:numFmt w:val="decimal"/>
      <w:lvlText w:val="%1."/>
      <w:lvlJc w:val="left"/>
      <w:pPr>
        <w:ind w:left="1270" w:hanging="420"/>
      </w:pPr>
    </w:lvl>
    <w:lvl w:ilvl="1" w:tentative="0">
      <w:start w:val="1"/>
      <w:numFmt w:val="lowerLetter"/>
      <w:lvlText w:val="%2)"/>
      <w:lvlJc w:val="left"/>
      <w:pPr>
        <w:ind w:left="430" w:hanging="420"/>
      </w:pPr>
    </w:lvl>
    <w:lvl w:ilvl="2" w:tentative="0">
      <w:start w:val="1"/>
      <w:numFmt w:val="lowerRoman"/>
      <w:lvlText w:val="%3."/>
      <w:lvlJc w:val="right"/>
      <w:pPr>
        <w:ind w:left="850" w:hanging="420"/>
      </w:pPr>
    </w:lvl>
    <w:lvl w:ilvl="3" w:tentative="0">
      <w:start w:val="1"/>
      <w:numFmt w:val="decimal"/>
      <w:lvlText w:val="%4."/>
      <w:lvlJc w:val="left"/>
      <w:pPr>
        <w:ind w:left="1270" w:hanging="420"/>
      </w:pPr>
    </w:lvl>
    <w:lvl w:ilvl="4" w:tentative="0">
      <w:start w:val="1"/>
      <w:numFmt w:val="lowerLetter"/>
      <w:lvlText w:val="%5)"/>
      <w:lvlJc w:val="left"/>
      <w:pPr>
        <w:ind w:left="1690" w:hanging="420"/>
      </w:pPr>
    </w:lvl>
    <w:lvl w:ilvl="5" w:tentative="0">
      <w:start w:val="1"/>
      <w:numFmt w:val="lowerRoman"/>
      <w:lvlText w:val="%6."/>
      <w:lvlJc w:val="right"/>
      <w:pPr>
        <w:ind w:left="2110" w:hanging="420"/>
      </w:pPr>
    </w:lvl>
    <w:lvl w:ilvl="6" w:tentative="0">
      <w:start w:val="1"/>
      <w:numFmt w:val="decimal"/>
      <w:lvlText w:val="%7."/>
      <w:lvlJc w:val="left"/>
      <w:pPr>
        <w:ind w:left="2530" w:hanging="420"/>
      </w:pPr>
    </w:lvl>
    <w:lvl w:ilvl="7" w:tentative="0">
      <w:start w:val="1"/>
      <w:numFmt w:val="lowerLetter"/>
      <w:lvlText w:val="%8)"/>
      <w:lvlJc w:val="left"/>
      <w:pPr>
        <w:ind w:left="2950" w:hanging="420"/>
      </w:pPr>
    </w:lvl>
    <w:lvl w:ilvl="8" w:tentative="0">
      <w:start w:val="1"/>
      <w:numFmt w:val="lowerRoman"/>
      <w:lvlText w:val="%9."/>
      <w:lvlJc w:val="right"/>
      <w:pPr>
        <w:ind w:left="3370" w:hanging="420"/>
      </w:pPr>
    </w:lvl>
  </w:abstractNum>
  <w:abstractNum w:abstractNumId="2">
    <w:nsid w:val="2EEC3FF9"/>
    <w:multiLevelType w:val="multilevel"/>
    <w:tmpl w:val="2EEC3FF9"/>
    <w:lvl w:ilvl="0" w:tentative="0">
      <w:start w:val="1"/>
      <w:numFmt w:val="decimal"/>
      <w:lvlText w:val="%1."/>
      <w:lvlJc w:val="left"/>
      <w:pPr>
        <w:ind w:left="1270" w:hanging="420"/>
      </w:pPr>
    </w:lvl>
    <w:lvl w:ilvl="1" w:tentative="0">
      <w:start w:val="1"/>
      <w:numFmt w:val="lowerLetter"/>
      <w:lvlText w:val="%2)"/>
      <w:lvlJc w:val="left"/>
      <w:pPr>
        <w:ind w:left="430" w:hanging="420"/>
      </w:pPr>
    </w:lvl>
    <w:lvl w:ilvl="2" w:tentative="0">
      <w:start w:val="1"/>
      <w:numFmt w:val="lowerRoman"/>
      <w:lvlText w:val="%3."/>
      <w:lvlJc w:val="right"/>
      <w:pPr>
        <w:ind w:left="850" w:hanging="420"/>
      </w:pPr>
    </w:lvl>
    <w:lvl w:ilvl="3" w:tentative="0">
      <w:start w:val="1"/>
      <w:numFmt w:val="decimal"/>
      <w:lvlText w:val="%4."/>
      <w:lvlJc w:val="left"/>
      <w:pPr>
        <w:ind w:left="1270" w:hanging="420"/>
      </w:pPr>
    </w:lvl>
    <w:lvl w:ilvl="4" w:tentative="0">
      <w:start w:val="1"/>
      <w:numFmt w:val="lowerLetter"/>
      <w:lvlText w:val="%5)"/>
      <w:lvlJc w:val="left"/>
      <w:pPr>
        <w:ind w:left="1690" w:hanging="420"/>
      </w:pPr>
    </w:lvl>
    <w:lvl w:ilvl="5" w:tentative="0">
      <w:start w:val="1"/>
      <w:numFmt w:val="lowerRoman"/>
      <w:lvlText w:val="%6."/>
      <w:lvlJc w:val="right"/>
      <w:pPr>
        <w:ind w:left="2110" w:hanging="420"/>
      </w:pPr>
    </w:lvl>
    <w:lvl w:ilvl="6" w:tentative="0">
      <w:start w:val="1"/>
      <w:numFmt w:val="decimal"/>
      <w:lvlText w:val="%7."/>
      <w:lvlJc w:val="left"/>
      <w:pPr>
        <w:ind w:left="2530" w:hanging="420"/>
      </w:pPr>
    </w:lvl>
    <w:lvl w:ilvl="7" w:tentative="0">
      <w:start w:val="1"/>
      <w:numFmt w:val="lowerLetter"/>
      <w:lvlText w:val="%8)"/>
      <w:lvlJc w:val="left"/>
      <w:pPr>
        <w:ind w:left="2950" w:hanging="420"/>
      </w:pPr>
    </w:lvl>
    <w:lvl w:ilvl="8" w:tentative="0">
      <w:start w:val="1"/>
      <w:numFmt w:val="lowerRoman"/>
      <w:lvlText w:val="%9."/>
      <w:lvlJc w:val="right"/>
      <w:pPr>
        <w:ind w:left="3370" w:hanging="420"/>
      </w:pPr>
    </w:lvl>
  </w:abstractNum>
  <w:abstractNum w:abstractNumId="3">
    <w:nsid w:val="352802BD"/>
    <w:multiLevelType w:val="multilevel"/>
    <w:tmpl w:val="352802BD"/>
    <w:lvl w:ilvl="0" w:tentative="0">
      <w:start w:val="1"/>
      <w:numFmt w:val="decimal"/>
      <w:lvlText w:val="%1."/>
      <w:lvlJc w:val="left"/>
      <w:pPr>
        <w:ind w:left="1270" w:hanging="420"/>
      </w:pPr>
      <w:rPr>
        <w:rFonts w:hint="eastAsia"/>
      </w:rPr>
    </w:lvl>
    <w:lvl w:ilvl="1" w:tentative="0">
      <w:start w:val="1"/>
      <w:numFmt w:val="lowerLetter"/>
      <w:lvlText w:val="%2)"/>
      <w:lvlJc w:val="left"/>
      <w:pPr>
        <w:ind w:left="1690" w:hanging="420"/>
      </w:pPr>
    </w:lvl>
    <w:lvl w:ilvl="2" w:tentative="0">
      <w:start w:val="1"/>
      <w:numFmt w:val="lowerRoman"/>
      <w:lvlText w:val="%3."/>
      <w:lvlJc w:val="right"/>
      <w:pPr>
        <w:ind w:left="2110" w:hanging="420"/>
      </w:pPr>
    </w:lvl>
    <w:lvl w:ilvl="3" w:tentative="0">
      <w:start w:val="1"/>
      <w:numFmt w:val="decimal"/>
      <w:lvlText w:val="%4."/>
      <w:lvlJc w:val="left"/>
      <w:pPr>
        <w:ind w:left="2530" w:hanging="420"/>
      </w:pPr>
    </w:lvl>
    <w:lvl w:ilvl="4" w:tentative="0">
      <w:start w:val="1"/>
      <w:numFmt w:val="lowerLetter"/>
      <w:lvlText w:val="%5)"/>
      <w:lvlJc w:val="left"/>
      <w:pPr>
        <w:ind w:left="2950" w:hanging="420"/>
      </w:pPr>
    </w:lvl>
    <w:lvl w:ilvl="5" w:tentative="0">
      <w:start w:val="1"/>
      <w:numFmt w:val="lowerRoman"/>
      <w:lvlText w:val="%6."/>
      <w:lvlJc w:val="right"/>
      <w:pPr>
        <w:ind w:left="3370" w:hanging="420"/>
      </w:pPr>
    </w:lvl>
    <w:lvl w:ilvl="6" w:tentative="0">
      <w:start w:val="1"/>
      <w:numFmt w:val="decimal"/>
      <w:lvlText w:val="%7."/>
      <w:lvlJc w:val="left"/>
      <w:pPr>
        <w:ind w:left="3790" w:hanging="420"/>
      </w:pPr>
    </w:lvl>
    <w:lvl w:ilvl="7" w:tentative="0">
      <w:start w:val="1"/>
      <w:numFmt w:val="lowerLetter"/>
      <w:lvlText w:val="%8)"/>
      <w:lvlJc w:val="left"/>
      <w:pPr>
        <w:ind w:left="4210" w:hanging="420"/>
      </w:pPr>
    </w:lvl>
    <w:lvl w:ilvl="8" w:tentative="0">
      <w:start w:val="1"/>
      <w:numFmt w:val="lowerRoman"/>
      <w:lvlText w:val="%9."/>
      <w:lvlJc w:val="right"/>
      <w:pPr>
        <w:ind w:left="4630" w:hanging="420"/>
      </w:pPr>
    </w:lvl>
  </w:abstractNum>
  <w:abstractNum w:abstractNumId="4">
    <w:nsid w:val="47ED0B89"/>
    <w:multiLevelType w:val="multilevel"/>
    <w:tmpl w:val="47ED0B89"/>
    <w:lvl w:ilvl="0" w:tentative="0">
      <w:start w:val="1"/>
      <w:numFmt w:val="chineseCountingThousand"/>
      <w:lvlText w:val="第%1条"/>
      <w:lvlJc w:val="left"/>
      <w:pPr>
        <w:ind w:left="420" w:hanging="420"/>
      </w:pPr>
      <w:rPr>
        <w:rFonts w:hint="eastAsia" w:ascii="Times New Roman" w:hAnsi="Times New Roman" w:eastAsia="仿宋"/>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14764C9"/>
    <w:multiLevelType w:val="multilevel"/>
    <w:tmpl w:val="514764C9"/>
    <w:lvl w:ilvl="0" w:tentative="0">
      <w:start w:val="1"/>
      <w:numFmt w:val="decimal"/>
      <w:lvlText w:val="%1."/>
      <w:lvlJc w:val="left"/>
      <w:pPr>
        <w:ind w:left="1270" w:hanging="420"/>
      </w:pPr>
      <w:rPr>
        <w:rFonts w:hint="eastAsia"/>
      </w:rPr>
    </w:lvl>
    <w:lvl w:ilvl="1" w:tentative="0">
      <w:start w:val="1"/>
      <w:numFmt w:val="lowerLetter"/>
      <w:lvlText w:val="%2)"/>
      <w:lvlJc w:val="left"/>
      <w:pPr>
        <w:ind w:left="1690" w:hanging="420"/>
      </w:pPr>
    </w:lvl>
    <w:lvl w:ilvl="2" w:tentative="0">
      <w:start w:val="1"/>
      <w:numFmt w:val="lowerRoman"/>
      <w:lvlText w:val="%3."/>
      <w:lvlJc w:val="right"/>
      <w:pPr>
        <w:ind w:left="2110" w:hanging="420"/>
      </w:pPr>
    </w:lvl>
    <w:lvl w:ilvl="3" w:tentative="0">
      <w:start w:val="1"/>
      <w:numFmt w:val="decimal"/>
      <w:lvlText w:val="%4."/>
      <w:lvlJc w:val="left"/>
      <w:pPr>
        <w:ind w:left="2530" w:hanging="420"/>
      </w:pPr>
    </w:lvl>
    <w:lvl w:ilvl="4" w:tentative="0">
      <w:start w:val="1"/>
      <w:numFmt w:val="lowerLetter"/>
      <w:lvlText w:val="%5)"/>
      <w:lvlJc w:val="left"/>
      <w:pPr>
        <w:ind w:left="2950" w:hanging="420"/>
      </w:pPr>
    </w:lvl>
    <w:lvl w:ilvl="5" w:tentative="0">
      <w:start w:val="1"/>
      <w:numFmt w:val="lowerRoman"/>
      <w:lvlText w:val="%6."/>
      <w:lvlJc w:val="right"/>
      <w:pPr>
        <w:ind w:left="3370" w:hanging="420"/>
      </w:pPr>
    </w:lvl>
    <w:lvl w:ilvl="6" w:tentative="0">
      <w:start w:val="1"/>
      <w:numFmt w:val="decimal"/>
      <w:lvlText w:val="%7."/>
      <w:lvlJc w:val="left"/>
      <w:pPr>
        <w:ind w:left="3790" w:hanging="420"/>
      </w:pPr>
    </w:lvl>
    <w:lvl w:ilvl="7" w:tentative="0">
      <w:start w:val="1"/>
      <w:numFmt w:val="lowerLetter"/>
      <w:lvlText w:val="%8)"/>
      <w:lvlJc w:val="left"/>
      <w:pPr>
        <w:ind w:left="4210" w:hanging="420"/>
      </w:pPr>
    </w:lvl>
    <w:lvl w:ilvl="8" w:tentative="0">
      <w:start w:val="1"/>
      <w:numFmt w:val="lowerRoman"/>
      <w:lvlText w:val="%9."/>
      <w:lvlJc w:val="right"/>
      <w:pPr>
        <w:ind w:left="4630" w:hanging="420"/>
      </w:pPr>
    </w:lvl>
  </w:abstractNum>
  <w:abstractNum w:abstractNumId="6">
    <w:nsid w:val="5D6A6F75"/>
    <w:multiLevelType w:val="multilevel"/>
    <w:tmpl w:val="5D6A6F75"/>
    <w:lvl w:ilvl="0" w:tentative="0">
      <w:start w:val="1"/>
      <w:numFmt w:val="decimal"/>
      <w:lvlText w:val="%1."/>
      <w:lvlJc w:val="left"/>
      <w:pPr>
        <w:ind w:left="1271" w:hanging="420"/>
      </w:p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6B"/>
    <w:rsid w:val="00033980"/>
    <w:rsid w:val="000408F7"/>
    <w:rsid w:val="00055BC5"/>
    <w:rsid w:val="00073557"/>
    <w:rsid w:val="000950CD"/>
    <w:rsid w:val="000A4026"/>
    <w:rsid w:val="000A713B"/>
    <w:rsid w:val="000D1625"/>
    <w:rsid w:val="000D7DBA"/>
    <w:rsid w:val="0011073F"/>
    <w:rsid w:val="00187D69"/>
    <w:rsid w:val="001979D4"/>
    <w:rsid w:val="001A5AEB"/>
    <w:rsid w:val="001F4719"/>
    <w:rsid w:val="00221776"/>
    <w:rsid w:val="00233967"/>
    <w:rsid w:val="00270844"/>
    <w:rsid w:val="0028351A"/>
    <w:rsid w:val="00291068"/>
    <w:rsid w:val="002953DC"/>
    <w:rsid w:val="002A661C"/>
    <w:rsid w:val="002C7FCD"/>
    <w:rsid w:val="002E29EE"/>
    <w:rsid w:val="00312D7D"/>
    <w:rsid w:val="003203B3"/>
    <w:rsid w:val="003235E3"/>
    <w:rsid w:val="00324A36"/>
    <w:rsid w:val="00330205"/>
    <w:rsid w:val="00335E3D"/>
    <w:rsid w:val="00354FCB"/>
    <w:rsid w:val="00366FAB"/>
    <w:rsid w:val="003B7C46"/>
    <w:rsid w:val="003C28EA"/>
    <w:rsid w:val="003D7BF1"/>
    <w:rsid w:val="003E3540"/>
    <w:rsid w:val="00425492"/>
    <w:rsid w:val="00434D78"/>
    <w:rsid w:val="00440FEE"/>
    <w:rsid w:val="00442FEC"/>
    <w:rsid w:val="004479FC"/>
    <w:rsid w:val="00470026"/>
    <w:rsid w:val="004D6F16"/>
    <w:rsid w:val="004E4FB8"/>
    <w:rsid w:val="004F336E"/>
    <w:rsid w:val="00516AA1"/>
    <w:rsid w:val="00517D5D"/>
    <w:rsid w:val="00536367"/>
    <w:rsid w:val="00541048"/>
    <w:rsid w:val="0054578E"/>
    <w:rsid w:val="00547071"/>
    <w:rsid w:val="00562382"/>
    <w:rsid w:val="005730D0"/>
    <w:rsid w:val="0059165F"/>
    <w:rsid w:val="005A5822"/>
    <w:rsid w:val="005B30BD"/>
    <w:rsid w:val="005B424F"/>
    <w:rsid w:val="005C7CD4"/>
    <w:rsid w:val="005E443C"/>
    <w:rsid w:val="005F06AB"/>
    <w:rsid w:val="0060221F"/>
    <w:rsid w:val="00615B3E"/>
    <w:rsid w:val="006176E7"/>
    <w:rsid w:val="00636F52"/>
    <w:rsid w:val="00665B78"/>
    <w:rsid w:val="006A5F4A"/>
    <w:rsid w:val="006B4D89"/>
    <w:rsid w:val="006C630F"/>
    <w:rsid w:val="006D5D45"/>
    <w:rsid w:val="00740CC2"/>
    <w:rsid w:val="00767C5D"/>
    <w:rsid w:val="00782CDA"/>
    <w:rsid w:val="007879C1"/>
    <w:rsid w:val="007B7260"/>
    <w:rsid w:val="007C01E8"/>
    <w:rsid w:val="007C517D"/>
    <w:rsid w:val="007E3269"/>
    <w:rsid w:val="008422DF"/>
    <w:rsid w:val="00843DC5"/>
    <w:rsid w:val="00862155"/>
    <w:rsid w:val="00882AC4"/>
    <w:rsid w:val="00886AB3"/>
    <w:rsid w:val="008B352E"/>
    <w:rsid w:val="008E016C"/>
    <w:rsid w:val="0090176A"/>
    <w:rsid w:val="00905CC8"/>
    <w:rsid w:val="009129D6"/>
    <w:rsid w:val="0094039F"/>
    <w:rsid w:val="009462DF"/>
    <w:rsid w:val="0094726B"/>
    <w:rsid w:val="00950C7D"/>
    <w:rsid w:val="00953EA9"/>
    <w:rsid w:val="009B6294"/>
    <w:rsid w:val="009C1C0F"/>
    <w:rsid w:val="00A01C6B"/>
    <w:rsid w:val="00A05599"/>
    <w:rsid w:val="00A20983"/>
    <w:rsid w:val="00A7094C"/>
    <w:rsid w:val="00A80675"/>
    <w:rsid w:val="00AB7824"/>
    <w:rsid w:val="00B146CF"/>
    <w:rsid w:val="00B26072"/>
    <w:rsid w:val="00B41EED"/>
    <w:rsid w:val="00BB388E"/>
    <w:rsid w:val="00BB652D"/>
    <w:rsid w:val="00BD28FB"/>
    <w:rsid w:val="00BF3EEB"/>
    <w:rsid w:val="00C04A02"/>
    <w:rsid w:val="00C06CE5"/>
    <w:rsid w:val="00C20799"/>
    <w:rsid w:val="00C63E0F"/>
    <w:rsid w:val="00C6464E"/>
    <w:rsid w:val="00C90D53"/>
    <w:rsid w:val="00C96771"/>
    <w:rsid w:val="00CE125F"/>
    <w:rsid w:val="00D2230A"/>
    <w:rsid w:val="00D32FA2"/>
    <w:rsid w:val="00D55AA7"/>
    <w:rsid w:val="00D64B69"/>
    <w:rsid w:val="00D67EF1"/>
    <w:rsid w:val="00DC6FE1"/>
    <w:rsid w:val="00DD57F4"/>
    <w:rsid w:val="00DD65C4"/>
    <w:rsid w:val="00DE1A2C"/>
    <w:rsid w:val="00E1250C"/>
    <w:rsid w:val="00E22123"/>
    <w:rsid w:val="00E31141"/>
    <w:rsid w:val="00E613A0"/>
    <w:rsid w:val="00E746A0"/>
    <w:rsid w:val="00E84642"/>
    <w:rsid w:val="00E96B28"/>
    <w:rsid w:val="00F0622D"/>
    <w:rsid w:val="00F31D16"/>
    <w:rsid w:val="00F35498"/>
    <w:rsid w:val="00F47B85"/>
    <w:rsid w:val="00F60050"/>
    <w:rsid w:val="00F838A8"/>
    <w:rsid w:val="00F872CC"/>
    <w:rsid w:val="00F94CB4"/>
    <w:rsid w:val="00FA5B00"/>
    <w:rsid w:val="00FD757F"/>
    <w:rsid w:val="07A22438"/>
    <w:rsid w:val="4CAE4952"/>
    <w:rsid w:val="57655A52"/>
    <w:rsid w:val="5C6043D4"/>
    <w:rsid w:val="718524BB"/>
    <w:rsid w:val="755469EE"/>
    <w:rsid w:val="7CEF11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uiPriority w:val="99"/>
    <w:rPr>
      <w:sz w:val="18"/>
      <w:szCs w:val="18"/>
    </w:rPr>
  </w:style>
  <w:style w:type="character" w:customStyle="1" w:styleId="11">
    <w:name w:val="批注框文本 Char"/>
    <w:basedOn w:val="8"/>
    <w:link w:val="3"/>
    <w:semiHidden/>
    <w:qFormat/>
    <w:uiPriority w:val="99"/>
    <w:rPr>
      <w:sz w:val="18"/>
      <w:szCs w:val="18"/>
    </w:rPr>
  </w:style>
  <w:style w:type="character" w:customStyle="1" w:styleId="12">
    <w:name w:val="标题 1 Char"/>
    <w:basedOn w:val="8"/>
    <w:link w:val="2"/>
    <w:uiPriority w:val="0"/>
    <w:rPr>
      <w:rFonts w:ascii="Times New Roman" w:hAnsi="Times New Roman" w:eastAsia="宋体" w:cs="Times New Roman"/>
      <w:b/>
      <w:bCs/>
      <w:kern w:val="44"/>
      <w:sz w:val="44"/>
      <w:szCs w:val="44"/>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1478</Words>
  <Characters>1494</Characters>
  <Lines>10</Lines>
  <Paragraphs>3</Paragraphs>
  <TotalTime>119</TotalTime>
  <ScaleCrop>false</ScaleCrop>
  <LinksUpToDate>false</LinksUpToDate>
  <CharactersWithSpaces>1501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2020-04-28T04:34:00Z</dcterms:created>
  <dc:creator>klxh</dc:creator>
  <cp:lastModifiedBy>狮子的月亮 </cp:lastModifiedBy>
  <dcterms:modified xsi:type="dcterms:W3CDTF">2022-03-21T08:53:13Z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7EDFFF94C5D64A5BACF9F62B80CB00BF</vt:lpwstr>
  </property>
</Properties>
</file>