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 w:hAnsi="仿宋" w:eastAsia="仿宋"/>
          <w:b w:val="0"/>
          <w:bCs w:val="0"/>
          <w:sz w:val="36"/>
          <w:szCs w:val="36"/>
        </w:rPr>
      </w:pPr>
      <w:r>
        <w:rPr>
          <w:rFonts w:hint="eastAsia" w:ascii="仿宋" w:hAnsi="仿宋" w:eastAsia="仿宋"/>
          <w:sz w:val="36"/>
          <w:szCs w:val="36"/>
        </w:rPr>
        <w:t>中国颗粒学会颗粒学奖章程（修订）</w:t>
      </w:r>
    </w:p>
    <w:p>
      <w:pPr>
        <w:tabs>
          <w:tab w:val="left" w:pos="0"/>
        </w:tabs>
        <w:spacing w:before="360" w:line="420" w:lineRule="exact"/>
        <w:jc w:val="center"/>
        <w:rPr>
          <w:rFonts w:ascii="仿宋" w:hAnsi="仿宋" w:eastAsia="仿宋" w:cs="Times New Roman"/>
          <w:b/>
          <w:sz w:val="28"/>
          <w:szCs w:val="20"/>
        </w:rPr>
      </w:pPr>
      <w:r>
        <w:rPr>
          <w:rFonts w:hint="eastAsia" w:ascii="仿宋" w:hAnsi="仿宋" w:eastAsia="仿宋" w:cs="Times New Roman"/>
          <w:b/>
          <w:sz w:val="28"/>
          <w:szCs w:val="20"/>
        </w:rPr>
        <w:t>第一章</w:t>
      </w:r>
      <w:r>
        <w:rPr>
          <w:rFonts w:ascii="仿宋" w:hAnsi="仿宋" w:eastAsia="仿宋" w:cs="Times New Roman"/>
          <w:b/>
          <w:sz w:val="28"/>
          <w:szCs w:val="20"/>
        </w:rPr>
        <w:tab/>
      </w:r>
      <w:r>
        <w:rPr>
          <w:rFonts w:hint="eastAsia" w:ascii="仿宋" w:hAnsi="仿宋" w:eastAsia="仿宋" w:cs="Times New Roman"/>
          <w:b/>
          <w:sz w:val="28"/>
          <w:szCs w:val="20"/>
        </w:rPr>
        <w:t>总则</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为进一步</w:t>
      </w:r>
      <w:r>
        <w:rPr>
          <w:rFonts w:ascii="仿宋" w:hAnsi="仿宋" w:eastAsia="仿宋" w:cs="Times New Roman"/>
          <w:sz w:val="24"/>
          <w:szCs w:val="20"/>
        </w:rPr>
        <w:t>鼓励和表彰</w:t>
      </w:r>
      <w:r>
        <w:rPr>
          <w:rFonts w:hint="eastAsia" w:ascii="仿宋" w:hAnsi="仿宋" w:eastAsia="仿宋" w:cs="Times New Roman"/>
          <w:sz w:val="24"/>
          <w:szCs w:val="20"/>
        </w:rPr>
        <w:t>颗粒学及其相关学科做出突出贡献的团体和个人，充分调动广大科技工作者的积极性和创造性，促进颗粒学及其相关学科的发展，更好地服务国家创新体系建设，依据中华人民共和国科学技术部《社会力量设立科学技术奖管理办法》，中国颗粒学会设立中国颗粒学会颗粒学奖，以表彰在颗粒学及其相关学科基础研究、技术创新、成果转化、科学普及、继续教育等方面做出突出贡献的中国科技工作者。</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中国颗粒学会颗粒学奖属于社会力量设奖。奖励的推荐、评审和授奖，实行公开、公平、公正的原则，不受任何组织或个人的干涉。</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中国颗粒学会设有奖励工作委员会，总体负责中国颗粒学会颗粒学奖的组织和评审工作。</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中国颗粒学会颗粒学奖部分奖项设有奖金，其奖金主要来源于社会捐赠和中国颗粒学会经费。</w:t>
      </w:r>
    </w:p>
    <w:p>
      <w:pPr>
        <w:tabs>
          <w:tab w:val="left" w:pos="0"/>
        </w:tabs>
        <w:spacing w:before="360" w:line="420" w:lineRule="exact"/>
        <w:jc w:val="center"/>
        <w:rPr>
          <w:rFonts w:ascii="仿宋" w:hAnsi="仿宋" w:eastAsia="仿宋" w:cs="Times New Roman"/>
          <w:b/>
          <w:sz w:val="28"/>
          <w:szCs w:val="20"/>
        </w:rPr>
      </w:pPr>
      <w:r>
        <w:rPr>
          <w:rFonts w:hint="eastAsia" w:ascii="仿宋" w:hAnsi="仿宋" w:eastAsia="仿宋" w:cs="Times New Roman"/>
          <w:b/>
          <w:sz w:val="28"/>
          <w:szCs w:val="20"/>
        </w:rPr>
        <w:t>第二章</w:t>
      </w:r>
      <w:r>
        <w:rPr>
          <w:rFonts w:ascii="仿宋" w:hAnsi="仿宋" w:eastAsia="仿宋" w:cs="Times New Roman"/>
          <w:b/>
          <w:sz w:val="28"/>
          <w:szCs w:val="20"/>
        </w:rPr>
        <w:tab/>
      </w:r>
      <w:r>
        <w:rPr>
          <w:rFonts w:hint="eastAsia" w:ascii="仿宋" w:hAnsi="仿宋" w:eastAsia="仿宋" w:cs="Times New Roman"/>
          <w:b/>
          <w:sz w:val="28"/>
          <w:szCs w:val="20"/>
        </w:rPr>
        <w:t>奖项设置</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中国颗粒学会颗粒学奖包括“中国颗粒学会科学技术奖”</w:t>
      </w:r>
      <w:r>
        <w:rPr>
          <w:rFonts w:hint="eastAsia" w:ascii="仿宋" w:hAnsi="仿宋" w:eastAsia="仿宋" w:cs="Times New Roman"/>
          <w:sz w:val="24"/>
          <w:szCs w:val="20"/>
          <w:lang w:val="en-US" w:eastAsia="zh-CN"/>
        </w:rPr>
        <w:t>和</w:t>
      </w:r>
      <w:r>
        <w:rPr>
          <w:rFonts w:hint="eastAsia" w:ascii="仿宋" w:hAnsi="仿宋" w:eastAsia="仿宋" w:cs="Times New Roman"/>
          <w:sz w:val="24"/>
          <w:szCs w:val="20"/>
        </w:rPr>
        <w:t>“中国颗粒学会人才奖”，以下简称“科技奖”和“人才奖”。</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“科技奖”包括“中国颗粒学会自然科学奖”、“中国颗粒学会技术发明奖”和“中国颗粒学会科技进步奖”，以下简称“自然科学奖”、“技术发明奖”和“科技进步奖”。</w:t>
      </w:r>
    </w:p>
    <w:p>
      <w:pPr>
        <w:pStyle w:val="9"/>
        <w:widowControl/>
        <w:numPr>
          <w:ilvl w:val="0"/>
          <w:numId w:val="2"/>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“自然科学奖”奖励在颗粒学及其相关学科基础研究和应用基础研究中，阐明自然现象、特征和规律，做出重大科学发现，引领学科发展的科技工作者；</w:t>
      </w:r>
    </w:p>
    <w:p>
      <w:pPr>
        <w:pStyle w:val="9"/>
        <w:widowControl/>
        <w:numPr>
          <w:ilvl w:val="0"/>
          <w:numId w:val="2"/>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“技术发明奖”奖励在颗粒学及其相关领域对产品、方法及其改进的技术方案中，做出重大技术发明，取得显著经济效益、社会效益或环境效益的科技工作者；</w:t>
      </w:r>
    </w:p>
    <w:p>
      <w:pPr>
        <w:pStyle w:val="9"/>
        <w:widowControl/>
        <w:numPr>
          <w:ilvl w:val="0"/>
          <w:numId w:val="2"/>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“科技进步奖”奖励在颗粒学及其相关领域的新</w:t>
      </w:r>
      <w:r>
        <w:rPr>
          <w:rFonts w:ascii="仿宋" w:hAnsi="仿宋" w:eastAsia="仿宋" w:cs="宋体"/>
          <w:bCs/>
          <w:kern w:val="0"/>
          <w:sz w:val="24"/>
          <w:szCs w:val="24"/>
        </w:rPr>
        <w:t>产品和新技术开发、应用、</w:t>
      </w:r>
      <w:r>
        <w:fldChar w:fldCharType="begin"/>
      </w:r>
      <w:r>
        <w:instrText xml:space="preserve"> HYPERLINK "https://baike.baidu.com/item/%E9%AB%98%E6%96%B0%E6%8A%80%E6%9C%AF%E4%BA%A7%E4%B8%9A%E5%8C%96/12764735" \t "_blank" </w:instrText>
      </w:r>
      <w:r>
        <w:fldChar w:fldCharType="separate"/>
      </w:r>
      <w:r>
        <w:rPr>
          <w:rFonts w:ascii="仿宋" w:hAnsi="仿宋" w:eastAsia="仿宋" w:cs="宋体"/>
          <w:bCs/>
          <w:kern w:val="0"/>
          <w:sz w:val="24"/>
          <w:szCs w:val="24"/>
        </w:rPr>
        <w:t>产业化</w:t>
      </w:r>
      <w:r>
        <w:rPr>
          <w:rFonts w:ascii="仿宋" w:hAnsi="仿宋" w:eastAsia="仿宋" w:cs="宋体"/>
          <w:bCs/>
          <w:kern w:val="0"/>
          <w:sz w:val="24"/>
          <w:szCs w:val="24"/>
        </w:rPr>
        <w:fldChar w:fldCharType="end"/>
      </w:r>
      <w:r>
        <w:rPr>
          <w:rFonts w:ascii="仿宋" w:hAnsi="仿宋" w:eastAsia="仿宋" w:cs="宋体"/>
          <w:bCs/>
          <w:kern w:val="0"/>
          <w:sz w:val="24"/>
          <w:szCs w:val="24"/>
        </w:rPr>
        <w:t>、技术改造及技术进步、技术基础和重大工程建设</w:t>
      </w:r>
      <w:r>
        <w:rPr>
          <w:rFonts w:hint="eastAsia" w:ascii="仿宋" w:hAnsi="仿宋" w:eastAsia="仿宋" w:cs="宋体"/>
          <w:bCs/>
          <w:kern w:val="0"/>
          <w:sz w:val="24"/>
          <w:szCs w:val="24"/>
        </w:rPr>
        <w:t>中实现重大科技创新或科技成果转化，对国民经济或国防建设做出突出贡献的科技工作者。</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“中国颗粒学会人才奖”包括“中国颗粒学会优秀博士学位论文奖”和“中国颗粒学会青年颗粒学奖” 以下简称“优秀博士学位论文奖”和“青年颗粒学奖”。</w:t>
      </w:r>
    </w:p>
    <w:p>
      <w:pPr>
        <w:pStyle w:val="9"/>
        <w:widowControl/>
        <w:numPr>
          <w:ilvl w:val="0"/>
          <w:numId w:val="3"/>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“优秀博士</w:t>
      </w:r>
      <w:r>
        <w:rPr>
          <w:rFonts w:hint="eastAsia" w:ascii="仿宋" w:hAnsi="仿宋" w:eastAsia="仿宋" w:cs="Times New Roman"/>
          <w:sz w:val="24"/>
          <w:szCs w:val="20"/>
        </w:rPr>
        <w:t>学位</w:t>
      </w:r>
      <w:r>
        <w:rPr>
          <w:rFonts w:hint="eastAsia" w:ascii="仿宋" w:hAnsi="仿宋" w:eastAsia="仿宋" w:cs="宋体"/>
          <w:bCs/>
          <w:kern w:val="0"/>
          <w:sz w:val="24"/>
          <w:szCs w:val="24"/>
        </w:rPr>
        <w:t>论文奖”奖励在攻读博士学位期间，在颗粒学及其相关领域的基础研究或应用研究中取得突出进展的优秀青年科技人才；</w:t>
      </w:r>
    </w:p>
    <w:p>
      <w:pPr>
        <w:pStyle w:val="9"/>
        <w:widowControl/>
        <w:numPr>
          <w:ilvl w:val="0"/>
          <w:numId w:val="3"/>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“青年颗粒学奖”奖励在颗粒学及其相关领域的基础理论或应用研究中取得突出成果的卓越青年科技人才。</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中国颗粒学会颗粒学奖的各奖项面向学会全体会员，获奖者由学会统一颁发奖牌、证书、奖金。</w:t>
      </w:r>
    </w:p>
    <w:p>
      <w:pPr>
        <w:tabs>
          <w:tab w:val="left" w:pos="0"/>
        </w:tabs>
        <w:spacing w:before="360" w:line="420" w:lineRule="exact"/>
        <w:jc w:val="center"/>
        <w:rPr>
          <w:rFonts w:ascii="仿宋" w:hAnsi="仿宋" w:eastAsia="仿宋" w:cs="Times New Roman"/>
          <w:b/>
          <w:sz w:val="28"/>
          <w:szCs w:val="20"/>
        </w:rPr>
      </w:pPr>
      <w:r>
        <w:rPr>
          <w:rFonts w:hint="eastAsia" w:ascii="仿宋" w:hAnsi="仿宋" w:eastAsia="仿宋" w:cs="Times New Roman"/>
          <w:b/>
          <w:sz w:val="28"/>
          <w:szCs w:val="20"/>
        </w:rPr>
        <w:t>第三章</w:t>
      </w:r>
      <w:r>
        <w:rPr>
          <w:rFonts w:ascii="仿宋" w:hAnsi="仿宋" w:eastAsia="仿宋" w:cs="Times New Roman"/>
          <w:b/>
          <w:sz w:val="28"/>
          <w:szCs w:val="20"/>
        </w:rPr>
        <w:tab/>
      </w:r>
      <w:r>
        <w:rPr>
          <w:rFonts w:hint="eastAsia" w:ascii="仿宋" w:hAnsi="仿宋" w:eastAsia="仿宋" w:cs="Times New Roman"/>
          <w:b/>
          <w:sz w:val="28"/>
          <w:szCs w:val="20"/>
        </w:rPr>
        <w:t>组织机构及其职责</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中国颗粒学会奖励工作委员会（以下简称“奖励工作委员会”）聘请有关专家组成中国颗粒学会颗粒学奖各奖项评审委员会。</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奖励工作委员会由理事会聘任，任期与理事会相同。设主任1人，副主任3-6人，成员由理事长、副理事长、秘书长、副秘书长等担任。</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奖励工作委员会的主要职责是：</w:t>
      </w:r>
    </w:p>
    <w:p>
      <w:pPr>
        <w:pStyle w:val="9"/>
        <w:widowControl/>
        <w:numPr>
          <w:ilvl w:val="0"/>
          <w:numId w:val="4"/>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聘任各奖项评审委员，组建各奖项评审委员会；</w:t>
      </w:r>
    </w:p>
    <w:p>
      <w:pPr>
        <w:pStyle w:val="9"/>
        <w:widowControl/>
        <w:numPr>
          <w:ilvl w:val="0"/>
          <w:numId w:val="4"/>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审查各奖项评审委员会提出的获奖初审结果，并形成决议，报常务理事会批准；</w:t>
      </w:r>
    </w:p>
    <w:p>
      <w:pPr>
        <w:pStyle w:val="9"/>
        <w:widowControl/>
        <w:numPr>
          <w:ilvl w:val="0"/>
          <w:numId w:val="4"/>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审核和裁决各奖项评审委员会提出的问题和异议；</w:t>
      </w:r>
    </w:p>
    <w:p>
      <w:pPr>
        <w:pStyle w:val="9"/>
        <w:widowControl/>
        <w:numPr>
          <w:ilvl w:val="0"/>
          <w:numId w:val="4"/>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审定各奖项的实施细则等有关规章制度；</w:t>
      </w:r>
    </w:p>
    <w:p>
      <w:pPr>
        <w:pStyle w:val="9"/>
        <w:widowControl/>
        <w:numPr>
          <w:ilvl w:val="0"/>
          <w:numId w:val="4"/>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提议中国颗粒学会颗粒学奖章程的修订。</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各奖项评审委员会由奖励工作委员会聘任，任期至本年度奖励工作结束。</w:t>
      </w:r>
    </w:p>
    <w:p>
      <w:pPr>
        <w:pStyle w:val="9"/>
        <w:widowControl/>
        <w:numPr>
          <w:ilvl w:val="0"/>
          <w:numId w:val="5"/>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科技奖”评审委员会：设主任1人和副主任3人。“科技奖”评审委员会成员由学会常务理事、专业委员会/工作委员会主任委员、学会理事、学会专家委员会委员等组成。“科技奖”评审委员会下设三个评审组，分别负责</w:t>
      </w:r>
      <w:r>
        <w:rPr>
          <w:rFonts w:hint="eastAsia" w:ascii="仿宋" w:hAnsi="仿宋" w:eastAsia="仿宋" w:cs="Times New Roman"/>
          <w:sz w:val="24"/>
          <w:szCs w:val="20"/>
        </w:rPr>
        <w:t>“自然科学奖”、“技术发明奖”和“科技进步奖”</w:t>
      </w:r>
      <w:r>
        <w:rPr>
          <w:rFonts w:hint="eastAsia" w:ascii="仿宋" w:hAnsi="仿宋" w:eastAsia="仿宋" w:cs="宋体"/>
          <w:bCs/>
          <w:kern w:val="0"/>
          <w:sz w:val="24"/>
          <w:szCs w:val="24"/>
        </w:rPr>
        <w:t>的评审工作，各评审组由5-9名成员组成；</w:t>
      </w:r>
    </w:p>
    <w:p>
      <w:pPr>
        <w:pStyle w:val="9"/>
        <w:widowControl/>
        <w:numPr>
          <w:ilvl w:val="0"/>
          <w:numId w:val="5"/>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人才奖”评审委员会：设主任1人和副主任2人。“人才奖”评审委员会成员由学会常务理事、青年工作委员会主任委员、学会理事、学会专家委员会委员等组成。“人才奖”评审委员会下设两个评审组，分别负责</w:t>
      </w:r>
      <w:r>
        <w:rPr>
          <w:rFonts w:hint="eastAsia" w:ascii="仿宋" w:hAnsi="仿宋" w:eastAsia="仿宋" w:cs="Times New Roman"/>
          <w:sz w:val="24"/>
          <w:szCs w:val="20"/>
        </w:rPr>
        <w:t>“优秀博士论文奖”和“青年颗粒学奖”</w:t>
      </w:r>
      <w:r>
        <w:rPr>
          <w:rFonts w:hint="eastAsia" w:ascii="仿宋" w:hAnsi="仿宋" w:eastAsia="仿宋" w:cs="宋体"/>
          <w:bCs/>
          <w:kern w:val="0"/>
          <w:sz w:val="24"/>
          <w:szCs w:val="24"/>
        </w:rPr>
        <w:t>的评审工作，各评审组由5-9名成员组成；</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各奖项评审委员会主要职责：</w:t>
      </w:r>
    </w:p>
    <w:p>
      <w:pPr>
        <w:pStyle w:val="9"/>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负责相应奖项的评审工作；</w:t>
      </w:r>
    </w:p>
    <w:p>
      <w:pPr>
        <w:pStyle w:val="9"/>
        <w:widowControl/>
        <w:numPr>
          <w:ilvl w:val="0"/>
          <w:numId w:val="6"/>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向奖励委员会提出初审结果、奖励等级的建议；</w:t>
      </w:r>
    </w:p>
    <w:p>
      <w:pPr>
        <w:pStyle w:val="9"/>
        <w:widowControl/>
        <w:numPr>
          <w:ilvl w:val="0"/>
          <w:numId w:val="6"/>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对相应奖项评审工作中出现的有关问题进行处理；</w:t>
      </w:r>
    </w:p>
    <w:p>
      <w:pPr>
        <w:pStyle w:val="9"/>
        <w:widowControl/>
        <w:numPr>
          <w:ilvl w:val="0"/>
          <w:numId w:val="6"/>
        </w:numPr>
        <w:spacing w:line="360" w:lineRule="auto"/>
        <w:ind w:left="1270" w:firstLineChars="0"/>
        <w:rPr>
          <w:rFonts w:ascii="仿宋" w:hAnsi="仿宋" w:eastAsia="仿宋" w:cs="宋体"/>
          <w:bCs/>
          <w:kern w:val="0"/>
          <w:sz w:val="24"/>
          <w:szCs w:val="24"/>
        </w:rPr>
      </w:pPr>
      <w:r>
        <w:rPr>
          <w:rFonts w:hint="eastAsia" w:ascii="仿宋" w:hAnsi="仿宋" w:eastAsia="仿宋" w:cs="宋体"/>
          <w:bCs/>
          <w:kern w:val="0"/>
          <w:sz w:val="24"/>
          <w:szCs w:val="24"/>
        </w:rPr>
        <w:t>对完善中国颗粒学会颗粒学奖工作提供意见和建议。</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中国颗粒学会办公室设立奖励工作秘书组，承担日常工作。</w:t>
      </w:r>
    </w:p>
    <w:p>
      <w:pPr>
        <w:tabs>
          <w:tab w:val="left" w:pos="0"/>
        </w:tabs>
        <w:spacing w:before="360" w:line="420" w:lineRule="exact"/>
        <w:jc w:val="center"/>
        <w:rPr>
          <w:rFonts w:ascii="仿宋" w:hAnsi="仿宋" w:eastAsia="仿宋" w:cs="Times New Roman"/>
          <w:b/>
          <w:sz w:val="28"/>
          <w:szCs w:val="20"/>
        </w:rPr>
      </w:pPr>
      <w:r>
        <w:rPr>
          <w:rFonts w:hint="eastAsia" w:ascii="仿宋" w:hAnsi="仿宋" w:eastAsia="仿宋" w:cs="Times New Roman"/>
          <w:b/>
          <w:sz w:val="28"/>
          <w:szCs w:val="20"/>
        </w:rPr>
        <w:t>第四章</w:t>
      </w:r>
      <w:r>
        <w:rPr>
          <w:rFonts w:ascii="仿宋" w:hAnsi="仿宋" w:eastAsia="仿宋" w:cs="Times New Roman"/>
          <w:b/>
          <w:sz w:val="28"/>
          <w:szCs w:val="20"/>
        </w:rPr>
        <w:tab/>
      </w:r>
      <w:r>
        <w:rPr>
          <w:rFonts w:hint="eastAsia" w:ascii="仿宋" w:hAnsi="仿宋" w:eastAsia="仿宋" w:cs="Times New Roman"/>
          <w:b/>
          <w:sz w:val="28"/>
          <w:szCs w:val="20"/>
        </w:rPr>
        <w:t>推荐和评审程序</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中国颗粒学会颗粒学奖推荐专家涵盖如下方面：</w:t>
      </w:r>
    </w:p>
    <w:p>
      <w:pPr>
        <w:pStyle w:val="9"/>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w:t>
      </w:r>
      <w:r>
        <w:rPr>
          <w:rFonts w:ascii="仿宋" w:hAnsi="仿宋" w:eastAsia="仿宋" w:cs="宋体"/>
          <w:bCs/>
          <w:kern w:val="0"/>
          <w:sz w:val="24"/>
          <w:szCs w:val="24"/>
        </w:rPr>
        <w:t>所属分支机构：专业委员会/工作委员会/工作组；</w:t>
      </w:r>
      <w:r>
        <w:rPr>
          <w:rFonts w:ascii="Calibri" w:hAnsi="Calibri" w:eastAsia="仿宋" w:cs="Calibri"/>
          <w:bCs/>
          <w:kern w:val="0"/>
          <w:sz w:val="24"/>
          <w:szCs w:val="24"/>
        </w:rPr>
        <w:t> </w:t>
      </w:r>
    </w:p>
    <w:p>
      <w:pPr>
        <w:pStyle w:val="9"/>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各省</w:t>
      </w:r>
      <w:r>
        <w:rPr>
          <w:rFonts w:ascii="仿宋" w:hAnsi="仿宋" w:eastAsia="仿宋" w:cs="宋体"/>
          <w:bCs/>
          <w:kern w:val="0"/>
          <w:sz w:val="24"/>
          <w:szCs w:val="24"/>
        </w:rPr>
        <w:t>/自治区/直辖市颗粒学会；</w:t>
      </w:r>
    </w:p>
    <w:p>
      <w:pPr>
        <w:pStyle w:val="9"/>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颗粒学相关领域的学会/协会等；</w:t>
      </w:r>
    </w:p>
    <w:p>
      <w:pPr>
        <w:pStyle w:val="9"/>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学会团体会员单位；</w:t>
      </w:r>
    </w:p>
    <w:p>
      <w:pPr>
        <w:pStyle w:val="9"/>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颗粒学及相关专业领域两院院士；</w:t>
      </w:r>
    </w:p>
    <w:p>
      <w:pPr>
        <w:pStyle w:val="9"/>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学会理事；</w:t>
      </w:r>
    </w:p>
    <w:p>
      <w:pPr>
        <w:pStyle w:val="9"/>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学会专家委员会委员；</w:t>
      </w:r>
    </w:p>
    <w:p>
      <w:pPr>
        <w:pStyle w:val="9"/>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本奖项历届获奖者。</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“科学技术奖”设立一、二等奖，其一、二等奖的奖励比例分别不超过报奖成果的20%和30%。该奖项每年组织评选1次。</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“人才奖” 授奖比例不超过报奖数量的30%。</w:t>
      </w:r>
      <w:r>
        <w:rPr>
          <w:rFonts w:hint="eastAsia" w:ascii="仿宋" w:hAnsi="仿宋" w:eastAsia="仿宋" w:cs="Times New Roman"/>
          <w:sz w:val="24"/>
          <w:szCs w:val="20"/>
          <w:lang w:val="en-US" w:eastAsia="zh-CN"/>
        </w:rPr>
        <w:t>其中“</w:t>
      </w:r>
      <w:r>
        <w:rPr>
          <w:rFonts w:hint="eastAsia" w:ascii="仿宋" w:hAnsi="仿宋" w:eastAsia="仿宋" w:cs="宋体"/>
          <w:bCs/>
          <w:kern w:val="0"/>
          <w:sz w:val="24"/>
          <w:szCs w:val="24"/>
        </w:rPr>
        <w:t>优秀博士论文</w:t>
      </w:r>
      <w:r>
        <w:rPr>
          <w:rFonts w:hint="eastAsia" w:ascii="仿宋" w:hAnsi="仿宋" w:eastAsia="仿宋" w:cs="Times New Roman"/>
          <w:sz w:val="24"/>
          <w:szCs w:val="20"/>
          <w:lang w:val="en-US" w:eastAsia="zh-CN"/>
        </w:rPr>
        <w:t>”</w:t>
      </w:r>
      <w:r>
        <w:rPr>
          <w:rFonts w:hint="eastAsia" w:ascii="仿宋" w:hAnsi="仿宋" w:eastAsia="仿宋" w:cs="宋体"/>
          <w:bCs/>
          <w:kern w:val="0"/>
          <w:sz w:val="24"/>
          <w:szCs w:val="24"/>
        </w:rPr>
        <w:t>奖</w:t>
      </w:r>
      <w:r>
        <w:rPr>
          <w:rFonts w:hint="eastAsia" w:ascii="仿宋" w:hAnsi="仿宋" w:eastAsia="仿宋" w:cs="Times New Roman"/>
          <w:sz w:val="24"/>
          <w:szCs w:val="20"/>
        </w:rPr>
        <w:t>每年组织评选1次</w:t>
      </w:r>
      <w:r>
        <w:rPr>
          <w:rFonts w:hint="eastAsia" w:ascii="仿宋" w:hAnsi="仿宋" w:eastAsia="仿宋" w:cs="Times New Roman"/>
          <w:sz w:val="24"/>
          <w:szCs w:val="20"/>
          <w:lang w:eastAsia="zh-CN"/>
        </w:rPr>
        <w:t>，“</w:t>
      </w:r>
      <w:r>
        <w:rPr>
          <w:rFonts w:hint="eastAsia" w:ascii="仿宋" w:hAnsi="仿宋" w:eastAsia="仿宋" w:cs="Times New Roman"/>
          <w:sz w:val="24"/>
          <w:szCs w:val="20"/>
        </w:rPr>
        <w:t>青年颗粒学奖</w:t>
      </w:r>
      <w:r>
        <w:rPr>
          <w:rFonts w:hint="eastAsia" w:ascii="仿宋" w:hAnsi="仿宋" w:eastAsia="仿宋" w:cs="Times New Roman"/>
          <w:sz w:val="24"/>
          <w:szCs w:val="20"/>
          <w:lang w:eastAsia="zh-CN"/>
        </w:rPr>
        <w:t>”</w:t>
      </w:r>
      <w:r>
        <w:rPr>
          <w:rFonts w:hint="eastAsia" w:ascii="仿宋" w:hAnsi="仿宋" w:eastAsia="仿宋" w:cs="Times New Roman"/>
          <w:sz w:val="24"/>
          <w:szCs w:val="20"/>
        </w:rPr>
        <w:t>每</w:t>
      </w:r>
      <w:r>
        <w:rPr>
          <w:rFonts w:hint="eastAsia" w:ascii="仿宋" w:hAnsi="仿宋" w:eastAsia="仿宋" w:cs="Times New Roman"/>
          <w:sz w:val="24"/>
          <w:szCs w:val="20"/>
          <w:lang w:val="en-US" w:eastAsia="zh-CN"/>
        </w:rPr>
        <w:t>两</w:t>
      </w:r>
      <w:r>
        <w:rPr>
          <w:rFonts w:hint="eastAsia" w:ascii="仿宋" w:hAnsi="仿宋" w:eastAsia="仿宋" w:cs="Times New Roman"/>
          <w:sz w:val="24"/>
          <w:szCs w:val="20"/>
        </w:rPr>
        <w:t>年组织评选1次。</w:t>
      </w:r>
    </w:p>
    <w:p>
      <w:pPr>
        <w:numPr>
          <w:ilvl w:val="0"/>
          <w:numId w:val="1"/>
        </w:numPr>
        <w:tabs>
          <w:tab w:val="left" w:pos="960"/>
        </w:tabs>
        <w:spacing w:beforeLines="50" w:line="360" w:lineRule="auto"/>
        <w:ind w:left="958" w:hanging="958"/>
        <w:rPr>
          <w:rFonts w:ascii="仿宋" w:hAnsi="仿宋" w:eastAsia="仿宋" w:cs="宋体"/>
          <w:bCs/>
          <w:kern w:val="0"/>
          <w:sz w:val="24"/>
          <w:szCs w:val="24"/>
        </w:rPr>
      </w:pPr>
      <w:r>
        <w:rPr>
          <w:rFonts w:hint="eastAsia" w:ascii="仿宋" w:hAnsi="仿宋" w:eastAsia="仿宋" w:cs="Times New Roman"/>
          <w:sz w:val="24"/>
          <w:szCs w:val="20"/>
        </w:rPr>
        <w:t>“青年颗粒学奖”</w:t>
      </w:r>
      <w:r>
        <w:rPr>
          <w:rFonts w:hint="eastAsia" w:ascii="仿宋" w:hAnsi="仿宋" w:eastAsia="仿宋" w:cs="宋体"/>
          <w:bCs/>
          <w:kern w:val="0"/>
          <w:sz w:val="24"/>
          <w:szCs w:val="24"/>
        </w:rPr>
        <w:t>申请者做出成果时</w:t>
      </w:r>
      <w:r>
        <w:rPr>
          <w:rFonts w:hint="eastAsia" w:ascii="仿宋" w:hAnsi="仿宋" w:eastAsia="仿宋" w:cs="宋体"/>
          <w:bCs/>
          <w:kern w:val="0"/>
          <w:sz w:val="24"/>
          <w:szCs w:val="24"/>
          <w:lang w:val="en-US" w:eastAsia="zh-CN"/>
        </w:rPr>
        <w:t>一般</w:t>
      </w:r>
      <w:r>
        <w:rPr>
          <w:rFonts w:hint="eastAsia" w:ascii="仿宋" w:hAnsi="仿宋" w:eastAsia="仿宋" w:cs="宋体"/>
          <w:bCs/>
          <w:kern w:val="0"/>
          <w:sz w:val="24"/>
          <w:szCs w:val="24"/>
        </w:rPr>
        <w:t>≤40周岁，申报时</w:t>
      </w:r>
      <w:r>
        <w:rPr>
          <w:rFonts w:hint="eastAsia" w:ascii="仿宋" w:hAnsi="仿宋" w:eastAsia="仿宋" w:cs="宋体"/>
          <w:bCs/>
          <w:kern w:val="0"/>
          <w:sz w:val="24"/>
          <w:szCs w:val="24"/>
          <w:lang w:val="en-US" w:eastAsia="zh-CN"/>
        </w:rPr>
        <w:t>一般</w:t>
      </w:r>
      <w:bookmarkStart w:id="0" w:name="_GoBack"/>
      <w:bookmarkEnd w:id="0"/>
      <w:r>
        <w:rPr>
          <w:rFonts w:hint="eastAsia" w:ascii="仿宋" w:hAnsi="仿宋" w:eastAsia="仿宋" w:cs="宋体"/>
          <w:bCs/>
          <w:kern w:val="0"/>
          <w:sz w:val="24"/>
          <w:szCs w:val="24"/>
        </w:rPr>
        <w:t>≤42周岁。“优秀博士论文奖”申请者在过去3年内获得博士学位。</w:t>
      </w:r>
    </w:p>
    <w:p>
      <w:pPr>
        <w:numPr>
          <w:ilvl w:val="0"/>
          <w:numId w:val="1"/>
        </w:numPr>
        <w:tabs>
          <w:tab w:val="left" w:pos="960"/>
        </w:tabs>
        <w:spacing w:beforeLines="50" w:line="360" w:lineRule="auto"/>
        <w:ind w:left="958" w:hanging="958"/>
        <w:rPr>
          <w:rFonts w:ascii="仿宋" w:hAnsi="仿宋" w:eastAsia="仿宋" w:cs="宋体"/>
          <w:bCs/>
          <w:kern w:val="0"/>
          <w:sz w:val="24"/>
          <w:szCs w:val="24"/>
        </w:rPr>
      </w:pPr>
      <w:r>
        <w:rPr>
          <w:rFonts w:hint="eastAsia" w:ascii="仿宋" w:hAnsi="仿宋" w:eastAsia="仿宋" w:cs="宋体"/>
          <w:bCs/>
          <w:kern w:val="0"/>
          <w:sz w:val="24"/>
          <w:szCs w:val="24"/>
        </w:rPr>
        <w:t>各奖项评审委员会根据申报材料做出判定结论，并向奖励工作委员会提出获奖人和奖励等级的建议；奖励工作委员会根据各奖项评审委员会的建议，做出获奖人和奖励等级的决议。</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中国颗粒学会常务理事会对奖励工作委员会做出的中国颗粒学会颗粒学奖各奖项的评审结果进行审核批准。</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中国颗粒学会颗粒学奖的评审实行回避制度。奖励申请者和推荐人不得作为评审委员参加当年对应奖项的评审工作。与被推荐项目有利害关系的评审委员应当回避。</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不建议已获得国家奖、省部级奖及其它社会力量设立的奖励的成果参加中国颗粒学会颗粒学奖的申报。</w:t>
      </w:r>
    </w:p>
    <w:p>
      <w:pPr>
        <w:tabs>
          <w:tab w:val="left" w:pos="0"/>
        </w:tabs>
        <w:spacing w:before="360" w:line="420" w:lineRule="exact"/>
        <w:jc w:val="center"/>
        <w:rPr>
          <w:rFonts w:ascii="仿宋" w:hAnsi="仿宋" w:eastAsia="仿宋" w:cs="Times New Roman"/>
          <w:b/>
          <w:sz w:val="28"/>
          <w:szCs w:val="20"/>
        </w:rPr>
      </w:pPr>
      <w:r>
        <w:rPr>
          <w:rFonts w:hint="eastAsia" w:ascii="仿宋" w:hAnsi="仿宋" w:eastAsia="仿宋" w:cs="Times New Roman"/>
          <w:b/>
          <w:sz w:val="28"/>
          <w:szCs w:val="20"/>
        </w:rPr>
        <w:t>第五章</w:t>
      </w:r>
      <w:r>
        <w:rPr>
          <w:rFonts w:ascii="仿宋" w:hAnsi="仿宋" w:eastAsia="仿宋" w:cs="Times New Roman"/>
          <w:b/>
          <w:sz w:val="28"/>
          <w:szCs w:val="20"/>
        </w:rPr>
        <w:tab/>
      </w:r>
      <w:r>
        <w:rPr>
          <w:rFonts w:hint="eastAsia" w:ascii="仿宋" w:hAnsi="仿宋" w:eastAsia="仿宋" w:cs="Times New Roman"/>
          <w:b/>
          <w:sz w:val="28"/>
          <w:szCs w:val="20"/>
        </w:rPr>
        <w:t>罚则</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对学术不端者，经查证属实，将撤销其奖励。处理结果将在中国颗粒学会相关媒体上公告。</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获奖者若因违法被判刑，将按规定程序撤消其荣誉称号。</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参与评审工作的各类人员在评审过程中，如有违规行为，将终止其参与评审的资格。</w:t>
      </w:r>
    </w:p>
    <w:p>
      <w:pPr>
        <w:tabs>
          <w:tab w:val="left" w:pos="0"/>
        </w:tabs>
        <w:spacing w:before="360" w:line="420" w:lineRule="exact"/>
        <w:jc w:val="center"/>
        <w:rPr>
          <w:rFonts w:ascii="仿宋" w:hAnsi="仿宋" w:eastAsia="仿宋" w:cs="Times New Roman"/>
          <w:b/>
          <w:sz w:val="28"/>
          <w:szCs w:val="20"/>
        </w:rPr>
      </w:pPr>
      <w:r>
        <w:rPr>
          <w:rFonts w:hint="eastAsia" w:ascii="仿宋" w:hAnsi="仿宋" w:eastAsia="仿宋" w:cs="Times New Roman"/>
          <w:b/>
          <w:sz w:val="28"/>
          <w:szCs w:val="20"/>
        </w:rPr>
        <w:t>第六章</w:t>
      </w:r>
      <w:r>
        <w:rPr>
          <w:rFonts w:ascii="仿宋" w:hAnsi="仿宋" w:eastAsia="仿宋" w:cs="Times New Roman"/>
          <w:b/>
          <w:sz w:val="28"/>
          <w:szCs w:val="20"/>
        </w:rPr>
        <w:tab/>
      </w:r>
      <w:r>
        <w:rPr>
          <w:rFonts w:hint="eastAsia" w:ascii="仿宋" w:hAnsi="仿宋" w:eastAsia="仿宋" w:cs="Times New Roman"/>
          <w:b/>
          <w:sz w:val="28"/>
          <w:szCs w:val="20"/>
        </w:rPr>
        <w:t>附则</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中国颗粒学会颗粒学奖各奖项的增设、删减和变更由奖励工作委员会负责提议，由中国颗粒学会常务理事会审定。</w:t>
      </w:r>
    </w:p>
    <w:p>
      <w:pPr>
        <w:numPr>
          <w:ilvl w:val="0"/>
          <w:numId w:val="1"/>
        </w:numPr>
        <w:tabs>
          <w:tab w:val="left" w:pos="960"/>
        </w:tabs>
        <w:spacing w:beforeLines="50" w:line="360" w:lineRule="auto"/>
        <w:ind w:left="958" w:hanging="958"/>
      </w:pPr>
      <w:r>
        <w:rPr>
          <w:rFonts w:hint="eastAsia" w:ascii="仿宋" w:hAnsi="仿宋" w:eastAsia="仿宋" w:cs="Times New Roman"/>
          <w:sz w:val="24"/>
          <w:szCs w:val="20"/>
        </w:rPr>
        <w:t>本章程由中国颗粒学会常务理事会负责解释。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62294"/>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F1360"/>
    <w:multiLevelType w:val="multilevel"/>
    <w:tmpl w:val="05BF1360"/>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22572B0D"/>
    <w:multiLevelType w:val="multilevel"/>
    <w:tmpl w:val="22572B0D"/>
    <w:lvl w:ilvl="0" w:tentative="0">
      <w:start w:val="1"/>
      <w:numFmt w:val="decimal"/>
      <w:lvlText w:val="%1."/>
      <w:lvlJc w:val="left"/>
      <w:pPr>
        <w:ind w:left="1270" w:hanging="420"/>
      </w:pPr>
      <w:rPr>
        <w:rFonts w:hint="eastAsia"/>
      </w:rPr>
    </w:lvl>
    <w:lvl w:ilvl="1" w:tentative="0">
      <w:start w:val="1"/>
      <w:numFmt w:val="lowerLetter"/>
      <w:lvlText w:val="%2)"/>
      <w:lvlJc w:val="left"/>
      <w:pPr>
        <w:ind w:left="430" w:hanging="420"/>
      </w:pPr>
    </w:lvl>
    <w:lvl w:ilvl="2" w:tentative="0">
      <w:start w:val="1"/>
      <w:numFmt w:val="lowerRoman"/>
      <w:lvlText w:val="%3."/>
      <w:lvlJc w:val="right"/>
      <w:pPr>
        <w:ind w:left="850" w:hanging="420"/>
      </w:pPr>
    </w:lvl>
    <w:lvl w:ilvl="3" w:tentative="0">
      <w:start w:val="1"/>
      <w:numFmt w:val="decimal"/>
      <w:lvlText w:val="%4."/>
      <w:lvlJc w:val="left"/>
      <w:pPr>
        <w:ind w:left="1270" w:hanging="420"/>
      </w:pPr>
    </w:lvl>
    <w:lvl w:ilvl="4" w:tentative="0">
      <w:start w:val="1"/>
      <w:numFmt w:val="lowerLetter"/>
      <w:lvlText w:val="%5)"/>
      <w:lvlJc w:val="left"/>
      <w:pPr>
        <w:ind w:left="1690" w:hanging="420"/>
      </w:pPr>
    </w:lvl>
    <w:lvl w:ilvl="5" w:tentative="0">
      <w:start w:val="1"/>
      <w:numFmt w:val="lowerRoman"/>
      <w:lvlText w:val="%6."/>
      <w:lvlJc w:val="right"/>
      <w:pPr>
        <w:ind w:left="2110" w:hanging="420"/>
      </w:pPr>
    </w:lvl>
    <w:lvl w:ilvl="6" w:tentative="0">
      <w:start w:val="1"/>
      <w:numFmt w:val="decimal"/>
      <w:lvlText w:val="%7."/>
      <w:lvlJc w:val="left"/>
      <w:pPr>
        <w:ind w:left="2530" w:hanging="420"/>
      </w:pPr>
    </w:lvl>
    <w:lvl w:ilvl="7" w:tentative="0">
      <w:start w:val="1"/>
      <w:numFmt w:val="lowerLetter"/>
      <w:lvlText w:val="%8)"/>
      <w:lvlJc w:val="left"/>
      <w:pPr>
        <w:ind w:left="2950" w:hanging="420"/>
      </w:pPr>
    </w:lvl>
    <w:lvl w:ilvl="8" w:tentative="0">
      <w:start w:val="1"/>
      <w:numFmt w:val="lowerRoman"/>
      <w:lvlText w:val="%9."/>
      <w:lvlJc w:val="right"/>
      <w:pPr>
        <w:ind w:left="3370" w:hanging="420"/>
      </w:pPr>
    </w:lvl>
  </w:abstractNum>
  <w:abstractNum w:abstractNumId="2">
    <w:nsid w:val="2B075D13"/>
    <w:multiLevelType w:val="multilevel"/>
    <w:tmpl w:val="2B075D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82C0C01"/>
    <w:multiLevelType w:val="multilevel"/>
    <w:tmpl w:val="482C0C01"/>
    <w:lvl w:ilvl="0" w:tentative="0">
      <w:start w:val="1"/>
      <w:numFmt w:val="chineseCountingThousand"/>
      <w:lvlText w:val="第%1条"/>
      <w:lvlJc w:val="left"/>
      <w:pPr>
        <w:ind w:left="420" w:hanging="420"/>
      </w:pPr>
      <w:rPr>
        <w:rFonts w:hint="eastAsia" w:ascii="Times New Roman" w:hAnsi="Times New Roman" w:eastAsia="仿宋"/>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D6A6F75"/>
    <w:multiLevelType w:val="multilevel"/>
    <w:tmpl w:val="5D6A6F75"/>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5">
    <w:nsid w:val="752C65FA"/>
    <w:multiLevelType w:val="multilevel"/>
    <w:tmpl w:val="752C65FA"/>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6">
    <w:nsid w:val="7F38537D"/>
    <w:multiLevelType w:val="multilevel"/>
    <w:tmpl w:val="7F38537D"/>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D1"/>
    <w:rsid w:val="00031F4C"/>
    <w:rsid w:val="00090358"/>
    <w:rsid w:val="000913AD"/>
    <w:rsid w:val="000B4B7E"/>
    <w:rsid w:val="000D103C"/>
    <w:rsid w:val="000D7005"/>
    <w:rsid w:val="00115788"/>
    <w:rsid w:val="001260AE"/>
    <w:rsid w:val="00132D79"/>
    <w:rsid w:val="00152D1C"/>
    <w:rsid w:val="0015519C"/>
    <w:rsid w:val="001F317A"/>
    <w:rsid w:val="00232389"/>
    <w:rsid w:val="002D6FE0"/>
    <w:rsid w:val="00380098"/>
    <w:rsid w:val="0042330F"/>
    <w:rsid w:val="004457A4"/>
    <w:rsid w:val="00453E45"/>
    <w:rsid w:val="00467E61"/>
    <w:rsid w:val="00475D40"/>
    <w:rsid w:val="004C3E0F"/>
    <w:rsid w:val="0051056F"/>
    <w:rsid w:val="00562153"/>
    <w:rsid w:val="005F5769"/>
    <w:rsid w:val="006357A4"/>
    <w:rsid w:val="00696729"/>
    <w:rsid w:val="0070538A"/>
    <w:rsid w:val="007377F6"/>
    <w:rsid w:val="007B5BE7"/>
    <w:rsid w:val="008305BA"/>
    <w:rsid w:val="0086008D"/>
    <w:rsid w:val="00973ED4"/>
    <w:rsid w:val="00975ED1"/>
    <w:rsid w:val="009C3FB5"/>
    <w:rsid w:val="00A12850"/>
    <w:rsid w:val="00AA2125"/>
    <w:rsid w:val="00B23167"/>
    <w:rsid w:val="00B25B43"/>
    <w:rsid w:val="00B5115E"/>
    <w:rsid w:val="00B5310E"/>
    <w:rsid w:val="00B829C0"/>
    <w:rsid w:val="00B87890"/>
    <w:rsid w:val="00D442A9"/>
    <w:rsid w:val="00D70840"/>
    <w:rsid w:val="00E036A0"/>
    <w:rsid w:val="00E355D2"/>
    <w:rsid w:val="00E726E2"/>
    <w:rsid w:val="00EE4ADE"/>
    <w:rsid w:val="00F3662E"/>
    <w:rsid w:val="00F61D94"/>
    <w:rsid w:val="00FA6F36"/>
    <w:rsid w:val="18CE262E"/>
    <w:rsid w:val="1F41786A"/>
    <w:rsid w:val="4F1D07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标题 1 Char"/>
    <w:basedOn w:val="6"/>
    <w:link w:val="2"/>
    <w:uiPriority w:val="0"/>
    <w:rPr>
      <w:rFonts w:ascii="Times New Roman" w:hAnsi="Times New Roman" w:eastAsia="宋体" w:cs="Times New Roman"/>
      <w:b/>
      <w:bCs/>
      <w:kern w:val="44"/>
      <w:sz w:val="44"/>
      <w:szCs w:val="44"/>
    </w:rPr>
  </w:style>
  <w:style w:type="paragraph" w:styleId="9">
    <w:name w:val="List Paragraph"/>
    <w:basedOn w:val="1"/>
    <w:qFormat/>
    <w:uiPriority w:val="34"/>
    <w:pPr>
      <w:ind w:firstLine="420" w:firstLineChars="200"/>
    </w:pPr>
  </w:style>
  <w:style w:type="character" w:customStyle="1" w:styleId="10">
    <w:name w:val="页眉 Char"/>
    <w:basedOn w:val="6"/>
    <w:link w:val="4"/>
    <w:semiHidden/>
    <w:uiPriority w:val="99"/>
    <w:rPr>
      <w:sz w:val="18"/>
      <w:szCs w:val="18"/>
    </w:rPr>
  </w:style>
  <w:style w:type="character" w:customStyle="1" w:styleId="11">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2332</Words>
  <Characters>2346</Characters>
  <Lines>22</Lines>
  <Paragraphs>6</Paragraphs>
  <TotalTime>1</TotalTime>
  <ScaleCrop>false</ScaleCrop>
  <LinksUpToDate>false</LinksUpToDate>
  <CharactersWithSpaces>2355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2020-04-02T01:46:00Z</dcterms:created>
  <dc:creator>klxh</dc:creator>
  <cp:lastModifiedBy>狮子的月亮 </cp:lastModifiedBy>
  <dcterms:modified xsi:type="dcterms:W3CDTF">2022-03-21T09:55:42Z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18DC0A2C166B407381E4A55706D4EC91</vt:lpwstr>
  </property>
</Properties>
</file>